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2379F5" w14:textId="6CF91506" w:rsidR="008341D0" w:rsidRPr="002C4EAB" w:rsidRDefault="008341D0" w:rsidP="008341D0">
      <w:pPr>
        <w:pStyle w:val="Header"/>
        <w:keepLines/>
        <w:tabs>
          <w:tab w:val="right" w:pos="10440"/>
          <w:tab w:val="right" w:pos="13323"/>
        </w:tabs>
        <w:rPr>
          <w:rFonts w:eastAsia="SimSun" w:cs="Arial"/>
          <w:bCs/>
          <w:sz w:val="24"/>
          <w:szCs w:val="24"/>
          <w:lang w:eastAsia="zh-CN"/>
        </w:rPr>
      </w:pPr>
      <w:bookmarkStart w:id="0" w:name="Title"/>
      <w:bookmarkStart w:id="1" w:name="DocumentFor"/>
      <w:bookmarkStart w:id="2" w:name="_Hlk3548187"/>
      <w:bookmarkStart w:id="3" w:name="_Toc508617208"/>
      <w:bookmarkEnd w:id="0"/>
      <w:bookmarkEnd w:id="1"/>
      <w:r w:rsidRPr="002C4EAB">
        <w:rPr>
          <w:rFonts w:cs="Arial"/>
          <w:bCs/>
          <w:sz w:val="24"/>
          <w:szCs w:val="24"/>
        </w:rPr>
        <w:t>3GPP TSG-RAN WG4 Meeting #</w:t>
      </w:r>
      <w:r w:rsidRPr="002C4EAB">
        <w:rPr>
          <w:bCs/>
        </w:rPr>
        <w:t xml:space="preserve"> </w:t>
      </w:r>
      <w:r w:rsidRPr="002C4EAB">
        <w:rPr>
          <w:rFonts w:cs="Arial"/>
          <w:bCs/>
          <w:sz w:val="24"/>
          <w:szCs w:val="24"/>
        </w:rPr>
        <w:t>97-e</w:t>
      </w:r>
      <w:r w:rsidRPr="002C4EAB">
        <w:rPr>
          <w:rFonts w:cs="Arial"/>
          <w:bCs/>
          <w:sz w:val="24"/>
          <w:szCs w:val="24"/>
        </w:rPr>
        <w:tab/>
      </w:r>
      <w:r w:rsidR="00C84936" w:rsidRPr="002C4EAB">
        <w:rPr>
          <w:rFonts w:cs="Arial"/>
          <w:bCs/>
          <w:sz w:val="24"/>
          <w:szCs w:val="24"/>
        </w:rPr>
        <w:t>R4-2016212</w:t>
      </w:r>
    </w:p>
    <w:p w14:paraId="0B0A7FB4" w14:textId="77777777" w:rsidR="008341D0" w:rsidRPr="002C4EAB" w:rsidRDefault="008341D0" w:rsidP="008341D0">
      <w:pPr>
        <w:pStyle w:val="Header"/>
        <w:tabs>
          <w:tab w:val="right" w:pos="9781"/>
          <w:tab w:val="right" w:pos="13323"/>
        </w:tabs>
        <w:outlineLvl w:val="0"/>
        <w:rPr>
          <w:rFonts w:eastAsia="SimSun"/>
          <w:bCs/>
          <w:sz w:val="24"/>
          <w:szCs w:val="24"/>
          <w:lang w:eastAsia="zh-CN"/>
        </w:rPr>
      </w:pPr>
      <w:r w:rsidRPr="002C4EAB">
        <w:rPr>
          <w:rFonts w:eastAsia="SimSun"/>
          <w:bCs/>
          <w:sz w:val="24"/>
          <w:szCs w:val="24"/>
          <w:lang w:eastAsia="zh-CN"/>
        </w:rPr>
        <w:t xml:space="preserve">Electronic Meeting, </w:t>
      </w:r>
      <w:r w:rsidRPr="002C4EAB">
        <w:rPr>
          <w:rFonts w:cs="Arial"/>
          <w:sz w:val="24"/>
        </w:rPr>
        <w:t>2 November - 13 November 2020</w:t>
      </w:r>
    </w:p>
    <w:p w14:paraId="2CD1CBBF" w14:textId="77777777" w:rsidR="008341D0" w:rsidRPr="002C4EAB" w:rsidRDefault="008341D0" w:rsidP="008341D0">
      <w:pPr>
        <w:rPr>
          <w:rFonts w:ascii="Arial" w:hAnsi="Arial" w:cs="Arial"/>
          <w:b/>
          <w:sz w:val="24"/>
          <w:szCs w:val="24"/>
        </w:rPr>
      </w:pPr>
    </w:p>
    <w:p w14:paraId="35952388" w14:textId="717F51DE" w:rsidR="00816C9D" w:rsidRPr="002C4EAB" w:rsidRDefault="00816C9D" w:rsidP="00816C9D">
      <w:pPr>
        <w:tabs>
          <w:tab w:val="left" w:pos="2160"/>
        </w:tabs>
        <w:rPr>
          <w:rFonts w:ascii="Arial" w:hAnsi="Arial" w:cs="Arial"/>
          <w:b/>
          <w:sz w:val="24"/>
          <w:szCs w:val="24"/>
        </w:rPr>
      </w:pPr>
      <w:r w:rsidRPr="002C4EAB">
        <w:rPr>
          <w:rFonts w:ascii="Arial" w:hAnsi="Arial" w:cs="Arial"/>
          <w:b/>
          <w:sz w:val="24"/>
          <w:szCs w:val="24"/>
        </w:rPr>
        <w:t>Agenda item:</w:t>
      </w:r>
      <w:r w:rsidRPr="002C4EAB">
        <w:rPr>
          <w:rFonts w:ascii="Arial" w:hAnsi="Arial" w:cs="Arial"/>
          <w:b/>
          <w:sz w:val="24"/>
          <w:szCs w:val="24"/>
        </w:rPr>
        <w:tab/>
      </w:r>
      <w:r w:rsidR="00827977" w:rsidRPr="002C4EAB">
        <w:rPr>
          <w:rFonts w:ascii="Arial" w:hAnsi="Arial" w:cs="Arial"/>
          <w:sz w:val="24"/>
          <w:szCs w:val="24"/>
        </w:rPr>
        <w:t>13.1.2</w:t>
      </w:r>
    </w:p>
    <w:p w14:paraId="35952389" w14:textId="77777777" w:rsidR="00816C9D" w:rsidRPr="002C4EAB" w:rsidRDefault="00816C9D" w:rsidP="00816C9D">
      <w:pPr>
        <w:tabs>
          <w:tab w:val="left" w:pos="2160"/>
        </w:tabs>
        <w:rPr>
          <w:rFonts w:ascii="Arial" w:hAnsi="Arial" w:cs="Arial"/>
          <w:b/>
          <w:sz w:val="24"/>
          <w:szCs w:val="24"/>
        </w:rPr>
      </w:pPr>
      <w:r w:rsidRPr="002C4EAB">
        <w:rPr>
          <w:rFonts w:ascii="Arial" w:hAnsi="Arial" w:cs="Arial"/>
          <w:b/>
          <w:sz w:val="24"/>
          <w:szCs w:val="24"/>
        </w:rPr>
        <w:t>Source:</w:t>
      </w:r>
      <w:r w:rsidRPr="002C4EAB">
        <w:rPr>
          <w:rFonts w:ascii="Arial" w:hAnsi="Arial" w:cs="Arial"/>
          <w:b/>
          <w:sz w:val="24"/>
          <w:szCs w:val="24"/>
        </w:rPr>
        <w:tab/>
      </w:r>
      <w:r w:rsidR="00347574" w:rsidRPr="002C4EAB">
        <w:rPr>
          <w:rFonts w:ascii="Arial" w:hAnsi="Arial" w:cs="Arial"/>
          <w:sz w:val="24"/>
          <w:szCs w:val="24"/>
        </w:rPr>
        <w:t>Keysight Technologies</w:t>
      </w:r>
    </w:p>
    <w:p w14:paraId="3595238A" w14:textId="5E387156" w:rsidR="00816C9D" w:rsidRPr="002C4EAB" w:rsidRDefault="00816C9D" w:rsidP="00816C9D">
      <w:pPr>
        <w:tabs>
          <w:tab w:val="left" w:pos="2250"/>
        </w:tabs>
        <w:ind w:left="2160" w:hanging="2160"/>
        <w:rPr>
          <w:rFonts w:ascii="Arial" w:hAnsi="Arial" w:cs="Arial"/>
          <w:bCs/>
          <w:sz w:val="24"/>
          <w:szCs w:val="24"/>
        </w:rPr>
      </w:pPr>
      <w:r w:rsidRPr="002C4EAB">
        <w:rPr>
          <w:rFonts w:ascii="Arial" w:hAnsi="Arial" w:cs="Arial"/>
          <w:b/>
          <w:sz w:val="24"/>
          <w:szCs w:val="24"/>
        </w:rPr>
        <w:t>Title:</w:t>
      </w:r>
      <w:r w:rsidRPr="002C4EAB">
        <w:rPr>
          <w:rFonts w:ascii="Arial" w:hAnsi="Arial" w:cs="Arial"/>
          <w:b/>
          <w:sz w:val="24"/>
          <w:szCs w:val="24"/>
        </w:rPr>
        <w:tab/>
      </w:r>
      <w:r w:rsidR="00073A9A" w:rsidRPr="002C4EAB">
        <w:rPr>
          <w:rFonts w:ascii="Arial" w:hAnsi="Arial" w:cs="Arial"/>
          <w:bCs/>
          <w:sz w:val="24"/>
          <w:szCs w:val="24"/>
        </w:rPr>
        <w:t>On minimizing the impact of polarization basis mismatch between the TE and DUT</w:t>
      </w:r>
    </w:p>
    <w:p w14:paraId="3595238B" w14:textId="6085F867" w:rsidR="00816C9D" w:rsidRPr="002C4EAB" w:rsidRDefault="00816C9D" w:rsidP="00816C9D">
      <w:pPr>
        <w:tabs>
          <w:tab w:val="left" w:pos="2160"/>
        </w:tabs>
        <w:rPr>
          <w:rFonts w:ascii="Arial" w:hAnsi="Arial" w:cs="Arial"/>
          <w:b/>
          <w:sz w:val="24"/>
          <w:szCs w:val="24"/>
        </w:rPr>
      </w:pPr>
      <w:r w:rsidRPr="002C4EAB">
        <w:rPr>
          <w:rFonts w:ascii="Arial" w:hAnsi="Arial" w:cs="Arial"/>
          <w:b/>
          <w:sz w:val="24"/>
          <w:szCs w:val="24"/>
        </w:rPr>
        <w:t>Document for:</w:t>
      </w:r>
      <w:r w:rsidRPr="002C4EAB">
        <w:rPr>
          <w:rFonts w:ascii="Arial" w:hAnsi="Arial" w:cs="Arial"/>
          <w:b/>
          <w:sz w:val="24"/>
          <w:szCs w:val="24"/>
        </w:rPr>
        <w:tab/>
      </w:r>
      <w:r w:rsidR="006A692A" w:rsidRPr="002C4EAB">
        <w:rPr>
          <w:rFonts w:ascii="Arial" w:hAnsi="Arial" w:cs="Arial"/>
          <w:sz w:val="24"/>
          <w:szCs w:val="24"/>
        </w:rPr>
        <w:t>Approval</w:t>
      </w:r>
    </w:p>
    <w:bookmarkEnd w:id="2"/>
    <w:p w14:paraId="3595238C" w14:textId="77777777" w:rsidR="00816C9D" w:rsidRPr="002C4EAB" w:rsidRDefault="00816C9D" w:rsidP="001E1CF6">
      <w:pPr>
        <w:pStyle w:val="Heading1"/>
        <w:ind w:left="567" w:hanging="567"/>
      </w:pPr>
      <w:r w:rsidRPr="002C4EAB">
        <w:t>Introduction</w:t>
      </w:r>
    </w:p>
    <w:p w14:paraId="073ECF18" w14:textId="29A0E792" w:rsidR="00D834FD" w:rsidRPr="002C4EAB" w:rsidRDefault="00D834FD" w:rsidP="00D834FD">
      <w:pPr>
        <w:ind w:left="48"/>
        <w:rPr>
          <w:rFonts w:eastAsia="Batang"/>
        </w:rPr>
      </w:pPr>
      <w:r w:rsidRPr="002C4EAB">
        <w:rPr>
          <w:rFonts w:eastAsia="Batang"/>
        </w:rPr>
        <w:t xml:space="preserve">This contribution outlines our view on topic #2 of this SI </w:t>
      </w:r>
      <w:r w:rsidRPr="002C4EAB">
        <w:rPr>
          <w:rFonts w:eastAsia="Batang"/>
        </w:rPr>
        <w:fldChar w:fldCharType="begin"/>
      </w:r>
      <w:r w:rsidRPr="002C4EAB">
        <w:rPr>
          <w:rFonts w:eastAsia="Batang"/>
        </w:rPr>
        <w:instrText xml:space="preserve"> REF _Ref20406919 \r \h </w:instrText>
      </w:r>
      <w:r w:rsidRPr="002C4EAB">
        <w:rPr>
          <w:rFonts w:eastAsia="Batang"/>
        </w:rPr>
      </w:r>
      <w:r w:rsidRPr="002C4EAB">
        <w:rPr>
          <w:rFonts w:eastAsia="Batang"/>
        </w:rPr>
        <w:fldChar w:fldCharType="separate"/>
      </w:r>
      <w:r w:rsidR="009E602A">
        <w:rPr>
          <w:rFonts w:eastAsia="Batang"/>
        </w:rPr>
        <w:t>[1]</w:t>
      </w:r>
      <w:r w:rsidRPr="002C4EAB">
        <w:rPr>
          <w:rFonts w:eastAsia="Batang"/>
        </w:rPr>
        <w:fldChar w:fldCharType="end"/>
      </w:r>
      <w:r w:rsidRPr="002C4EAB">
        <w:rPr>
          <w:rFonts w:eastAsia="Batang"/>
        </w:rPr>
        <w:t xml:space="preserve"> to define solutions to minimize the impact of polarization basis mismatch between the TE and DUT.</w:t>
      </w:r>
    </w:p>
    <w:p w14:paraId="3595238E" w14:textId="77777777" w:rsidR="0053435C" w:rsidRPr="002C4EAB" w:rsidRDefault="00AF0F4C" w:rsidP="0053435C">
      <w:pPr>
        <w:pStyle w:val="Heading1"/>
        <w:ind w:left="567" w:hanging="567"/>
      </w:pPr>
      <w:r w:rsidRPr="002C4EAB">
        <w:t>Discussion</w:t>
      </w:r>
    </w:p>
    <w:p w14:paraId="5E5687A8" w14:textId="607645D3" w:rsidR="00D834FD" w:rsidRPr="002C4EAB" w:rsidRDefault="00D834FD" w:rsidP="00E03F11">
      <w:r w:rsidRPr="002C4EAB">
        <w:t xml:space="preserve">Various test or augmented test system approaches to minimize the impact of polarization basis mismatch were presented in the past, e.g., </w:t>
      </w:r>
      <w:r w:rsidRPr="002C4EAB">
        <w:fldChar w:fldCharType="begin"/>
      </w:r>
      <w:r w:rsidRPr="002C4EAB">
        <w:instrText xml:space="preserve"> REF _Ref47108669 \r \h </w:instrText>
      </w:r>
      <w:r w:rsidRPr="002C4EAB">
        <w:fldChar w:fldCharType="separate"/>
      </w:r>
      <w:r w:rsidR="009E602A">
        <w:t>[2]</w:t>
      </w:r>
      <w:r w:rsidRPr="002C4EAB">
        <w:fldChar w:fldCharType="end"/>
      </w:r>
      <w:r w:rsidRPr="002C4EAB">
        <w:fldChar w:fldCharType="begin"/>
      </w:r>
      <w:r w:rsidRPr="002C4EAB">
        <w:instrText xml:space="preserve"> REF _Ref47108671 \r \h </w:instrText>
      </w:r>
      <w:r w:rsidRPr="002C4EAB">
        <w:fldChar w:fldCharType="separate"/>
      </w:r>
      <w:r w:rsidR="009E602A">
        <w:t>[3]</w:t>
      </w:r>
      <w:r w:rsidRPr="002C4EAB">
        <w:fldChar w:fldCharType="end"/>
      </w:r>
      <w:r w:rsidRPr="002C4EAB">
        <w:t xml:space="preserve">. </w:t>
      </w:r>
    </w:p>
    <w:p w14:paraId="589F0219" w14:textId="1D99904D" w:rsidR="00827977" w:rsidRPr="00827977" w:rsidRDefault="00827977" w:rsidP="00827977">
      <w:r w:rsidRPr="002C4EAB">
        <w:rPr>
          <w:noProof/>
        </w:rPr>
        <mc:AlternateContent>
          <mc:Choice Requires="wps">
            <w:drawing>
              <wp:anchor distT="45720" distB="45720" distL="114300" distR="114300" simplePos="0" relativeHeight="251659264" behindDoc="0" locked="0" layoutInCell="1" allowOverlap="1" wp14:anchorId="43BD5B15" wp14:editId="334773B5">
                <wp:simplePos x="0" y="0"/>
                <wp:positionH relativeFrom="column">
                  <wp:posOffset>-4445</wp:posOffset>
                </wp:positionH>
                <wp:positionV relativeFrom="paragraph">
                  <wp:posOffset>356446</wp:posOffset>
                </wp:positionV>
                <wp:extent cx="6134100" cy="1404620"/>
                <wp:effectExtent l="0" t="0" r="19050" b="2667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4100" cy="1404620"/>
                        </a:xfrm>
                        <a:prstGeom prst="rect">
                          <a:avLst/>
                        </a:prstGeom>
                        <a:solidFill>
                          <a:srgbClr val="FFFFFF"/>
                        </a:solidFill>
                        <a:ln w="9525">
                          <a:solidFill>
                            <a:srgbClr val="000000"/>
                          </a:solidFill>
                          <a:miter lim="800000"/>
                          <a:headEnd/>
                          <a:tailEnd/>
                        </a:ln>
                      </wps:spPr>
                      <wps:txbx>
                        <w:txbxContent>
                          <w:p w14:paraId="43DDF8FC" w14:textId="51E0AF48" w:rsidR="00827977" w:rsidRPr="00827977" w:rsidRDefault="00827977" w:rsidP="00827977">
                            <w:pPr>
                              <w:numPr>
                                <w:ilvl w:val="0"/>
                                <w:numId w:val="45"/>
                              </w:numPr>
                              <w:rPr>
                                <w:lang w:val="en-US"/>
                              </w:rPr>
                            </w:pPr>
                            <w:r w:rsidRPr="00827977">
                              <w:rPr>
                                <w:lang w:val="en-US"/>
                              </w:rPr>
                              <w:t>Focus on following techniques to enhance EIRP measurement, and it is agreed to propose to add them into SID scope explicitly in Sep. RAN plenary :</w:t>
                            </w:r>
                          </w:p>
                          <w:p w14:paraId="35A5C1E6" w14:textId="77777777" w:rsidR="00827977" w:rsidRPr="00827977" w:rsidRDefault="00827977" w:rsidP="00827977">
                            <w:pPr>
                              <w:numPr>
                                <w:ilvl w:val="1"/>
                                <w:numId w:val="45"/>
                              </w:numPr>
                              <w:rPr>
                                <w:lang w:val="en-US"/>
                              </w:rPr>
                            </w:pPr>
                            <w:r w:rsidRPr="00827977">
                              <w:rPr>
                                <w:lang w:val="en-US"/>
                              </w:rPr>
                              <w:t>Option 1: TPMI side condition method</w:t>
                            </w:r>
                          </w:p>
                          <w:p w14:paraId="330C730A" w14:textId="77777777" w:rsidR="00827977" w:rsidRPr="00827977" w:rsidRDefault="00827977" w:rsidP="00827977">
                            <w:pPr>
                              <w:numPr>
                                <w:ilvl w:val="2"/>
                                <w:numId w:val="45"/>
                              </w:numPr>
                              <w:rPr>
                                <w:lang w:val="en-US"/>
                              </w:rPr>
                            </w:pPr>
                            <w:r w:rsidRPr="00827977">
                              <w:rPr>
                                <w:lang w:val="en-US"/>
                              </w:rPr>
                              <w:t xml:space="preserve">TPMI side conditions are applicable to Rel-16 (and higher) UEs </w:t>
                            </w:r>
                          </w:p>
                          <w:p w14:paraId="7FA62257" w14:textId="77777777" w:rsidR="00827977" w:rsidRPr="00827977" w:rsidRDefault="00827977" w:rsidP="00827977">
                            <w:pPr>
                              <w:numPr>
                                <w:ilvl w:val="1"/>
                                <w:numId w:val="45"/>
                              </w:numPr>
                              <w:rPr>
                                <w:lang w:val="en-US"/>
                              </w:rPr>
                            </w:pPr>
                            <w:r w:rsidRPr="00827977">
                              <w:rPr>
                                <w:lang w:val="en-US"/>
                              </w:rPr>
                              <w:t>Option 2: DL polarization scan method</w:t>
                            </w:r>
                          </w:p>
                          <w:p w14:paraId="23807066" w14:textId="77777777" w:rsidR="00827977" w:rsidRPr="00827977" w:rsidRDefault="00827977" w:rsidP="00827977">
                            <w:pPr>
                              <w:numPr>
                                <w:ilvl w:val="2"/>
                                <w:numId w:val="45"/>
                              </w:numPr>
                              <w:rPr>
                                <w:lang w:val="en-US"/>
                              </w:rPr>
                            </w:pPr>
                            <w:r w:rsidRPr="00827977">
                              <w:rPr>
                                <w:lang w:val="en-US"/>
                              </w:rPr>
                              <w:t>Further clarify whether it can reliably force UE to transmit simultaneously with dual polarization for all UEs</w:t>
                            </w:r>
                          </w:p>
                          <w:p w14:paraId="1164B839" w14:textId="77777777" w:rsidR="00827977" w:rsidRPr="00827977" w:rsidRDefault="00827977" w:rsidP="00827977">
                            <w:pPr>
                              <w:numPr>
                                <w:ilvl w:val="2"/>
                                <w:numId w:val="45"/>
                              </w:numPr>
                              <w:rPr>
                                <w:lang w:val="en-US"/>
                              </w:rPr>
                            </w:pPr>
                            <w:r w:rsidRPr="00827977">
                              <w:rPr>
                                <w:lang w:val="en-US"/>
                              </w:rPr>
                              <w:t>How to address the concern on test time and the concern on difference between test and field</w:t>
                            </w:r>
                          </w:p>
                          <w:p w14:paraId="5FFC1AE7" w14:textId="77777777" w:rsidR="00827977" w:rsidRPr="00827977" w:rsidRDefault="00827977" w:rsidP="00827977">
                            <w:pPr>
                              <w:numPr>
                                <w:ilvl w:val="1"/>
                                <w:numId w:val="45"/>
                              </w:numPr>
                              <w:rPr>
                                <w:lang w:val="en-US"/>
                              </w:rPr>
                            </w:pPr>
                            <w:r w:rsidRPr="00827977">
                              <w:rPr>
                                <w:lang w:val="en-US"/>
                              </w:rPr>
                              <w:t>Option 3: test mode to trigger TX diversity</w:t>
                            </w:r>
                          </w:p>
                          <w:p w14:paraId="65A0F299" w14:textId="77777777" w:rsidR="00827977" w:rsidRPr="00827977" w:rsidRDefault="00827977" w:rsidP="00827977">
                            <w:pPr>
                              <w:numPr>
                                <w:ilvl w:val="2"/>
                                <w:numId w:val="45"/>
                              </w:numPr>
                              <w:rPr>
                                <w:lang w:val="en-US"/>
                              </w:rPr>
                            </w:pPr>
                            <w:r w:rsidRPr="00827977">
                              <w:rPr>
                                <w:lang w:val="en-US"/>
                              </w:rPr>
                              <w:t>Test mode can reliably force UE to transmit simultaneously with dual polarization for all UEs</w:t>
                            </w:r>
                          </w:p>
                          <w:p w14:paraId="28981E9D" w14:textId="2B39D6BE" w:rsidR="00827977" w:rsidRPr="00827977" w:rsidRDefault="00827977" w:rsidP="00827977">
                            <w:pPr>
                              <w:numPr>
                                <w:ilvl w:val="2"/>
                                <w:numId w:val="45"/>
                              </w:numPr>
                              <w:rPr>
                                <w:lang w:val="en-US"/>
                              </w:rPr>
                            </w:pPr>
                            <w:r w:rsidRPr="00827977">
                              <w:rPr>
                                <w:lang w:val="en-US"/>
                              </w:rPr>
                              <w:t>How to address the concern on difference between test and field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3BD5B15" id="_x0000_t202" coordsize="21600,21600" o:spt="202" path="m,l,21600r21600,l21600,xe">
                <v:stroke joinstyle="miter"/>
                <v:path gradientshapeok="t" o:connecttype="rect"/>
              </v:shapetype>
              <v:shape id="Text Box 2" o:spid="_x0000_s1026" type="#_x0000_t202" style="position:absolute;margin-left:-.35pt;margin-top:28.05pt;width:483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">
                <v:textbox style="mso-fit-shape-to-text:t">
                  <w:txbxContent>
                    <w:p w14:paraId="43DDF8FC" w14:textId="51E0AF48" w:rsidR="00827977" w:rsidRPr="00827977" w:rsidRDefault="00827977" w:rsidP="00827977">
                      <w:pPr>
                        <w:numPr>
                          <w:ilvl w:val="0"/>
                          <w:numId w:val="45"/>
                        </w:numPr>
                        <w:rPr>
                          <w:lang w:val="en-US"/>
                        </w:rPr>
                      </w:pPr>
                      <w:r w:rsidRPr="00827977">
                        <w:rPr>
                          <w:lang w:val="en-US"/>
                        </w:rPr>
                        <w:t>Focus on following techniques to enhance EIRP measurement, and it is agreed to propose to add them into SID scope explicitly in Sep. RAN plenary :</w:t>
                      </w:r>
                    </w:p>
                    <w:p w14:paraId="35A5C1E6" w14:textId="77777777" w:rsidR="00827977" w:rsidRPr="00827977" w:rsidRDefault="00827977" w:rsidP="00827977">
                      <w:pPr>
                        <w:numPr>
                          <w:ilvl w:val="1"/>
                          <w:numId w:val="45"/>
                        </w:numPr>
                        <w:rPr>
                          <w:lang w:val="en-US"/>
                        </w:rPr>
                      </w:pPr>
                      <w:r w:rsidRPr="00827977">
                        <w:rPr>
                          <w:lang w:val="en-US"/>
                        </w:rPr>
                        <w:t>Option 1: TPMI side condition method</w:t>
                      </w:r>
                    </w:p>
                    <w:p w14:paraId="330C730A" w14:textId="77777777" w:rsidR="00827977" w:rsidRPr="00827977" w:rsidRDefault="00827977" w:rsidP="00827977">
                      <w:pPr>
                        <w:numPr>
                          <w:ilvl w:val="2"/>
                          <w:numId w:val="45"/>
                        </w:numPr>
                        <w:rPr>
                          <w:lang w:val="en-US"/>
                        </w:rPr>
                      </w:pPr>
                      <w:r w:rsidRPr="00827977">
                        <w:rPr>
                          <w:lang w:val="en-US"/>
                        </w:rPr>
                        <w:t xml:space="preserve">TPMI side conditions are applicable to Rel-16 (and higher) UEs </w:t>
                      </w:r>
                    </w:p>
                    <w:p w14:paraId="7FA62257" w14:textId="77777777" w:rsidR="00827977" w:rsidRPr="00827977" w:rsidRDefault="00827977" w:rsidP="00827977">
                      <w:pPr>
                        <w:numPr>
                          <w:ilvl w:val="1"/>
                          <w:numId w:val="45"/>
                        </w:numPr>
                        <w:rPr>
                          <w:lang w:val="en-US"/>
                        </w:rPr>
                      </w:pPr>
                      <w:r w:rsidRPr="00827977">
                        <w:rPr>
                          <w:lang w:val="en-US"/>
                        </w:rPr>
                        <w:t>Option 2: DL polarization scan method</w:t>
                      </w:r>
                    </w:p>
                    <w:p w14:paraId="23807066" w14:textId="77777777" w:rsidR="00827977" w:rsidRPr="00827977" w:rsidRDefault="00827977" w:rsidP="00827977">
                      <w:pPr>
                        <w:numPr>
                          <w:ilvl w:val="2"/>
                          <w:numId w:val="45"/>
                        </w:numPr>
                        <w:rPr>
                          <w:lang w:val="en-US"/>
                        </w:rPr>
                      </w:pPr>
                      <w:r w:rsidRPr="00827977">
                        <w:rPr>
                          <w:lang w:val="en-US"/>
                        </w:rPr>
                        <w:t>Further clarify whether it can reliably force UE to transmit simultaneously with dual polarization for all UEs</w:t>
                      </w:r>
                    </w:p>
                    <w:p w14:paraId="1164B839" w14:textId="77777777" w:rsidR="00827977" w:rsidRPr="00827977" w:rsidRDefault="00827977" w:rsidP="00827977">
                      <w:pPr>
                        <w:numPr>
                          <w:ilvl w:val="2"/>
                          <w:numId w:val="45"/>
                        </w:numPr>
                        <w:rPr>
                          <w:lang w:val="en-US"/>
                        </w:rPr>
                      </w:pPr>
                      <w:r w:rsidRPr="00827977">
                        <w:rPr>
                          <w:lang w:val="en-US"/>
                        </w:rPr>
                        <w:t>How to address the concern on test time and the concern on difference between test and field</w:t>
                      </w:r>
                    </w:p>
                    <w:p w14:paraId="5FFC1AE7" w14:textId="77777777" w:rsidR="00827977" w:rsidRPr="00827977" w:rsidRDefault="00827977" w:rsidP="00827977">
                      <w:pPr>
                        <w:numPr>
                          <w:ilvl w:val="1"/>
                          <w:numId w:val="45"/>
                        </w:numPr>
                        <w:rPr>
                          <w:lang w:val="en-US"/>
                        </w:rPr>
                      </w:pPr>
                      <w:r w:rsidRPr="00827977">
                        <w:rPr>
                          <w:lang w:val="en-US"/>
                        </w:rPr>
                        <w:t>Option 3: test mode to trigger TX diversity</w:t>
                      </w:r>
                    </w:p>
                    <w:p w14:paraId="65A0F299" w14:textId="77777777" w:rsidR="00827977" w:rsidRPr="00827977" w:rsidRDefault="00827977" w:rsidP="00827977">
                      <w:pPr>
                        <w:numPr>
                          <w:ilvl w:val="2"/>
                          <w:numId w:val="45"/>
                        </w:numPr>
                        <w:rPr>
                          <w:lang w:val="en-US"/>
                        </w:rPr>
                      </w:pPr>
                      <w:r w:rsidRPr="00827977">
                        <w:rPr>
                          <w:lang w:val="en-US"/>
                        </w:rPr>
                        <w:t>Test mode can reliably force UE to transmit simultaneously with dual polarization for all UEs</w:t>
                      </w:r>
                    </w:p>
                    <w:p w14:paraId="28981E9D" w14:textId="2B39D6BE" w:rsidR="00827977" w:rsidRPr="00827977" w:rsidRDefault="00827977" w:rsidP="00827977">
                      <w:pPr>
                        <w:numPr>
                          <w:ilvl w:val="2"/>
                          <w:numId w:val="45"/>
                        </w:numPr>
                        <w:rPr>
                          <w:lang w:val="en-US"/>
                        </w:rPr>
                      </w:pPr>
                      <w:r w:rsidRPr="00827977">
                        <w:rPr>
                          <w:lang w:val="en-US"/>
                        </w:rPr>
                        <w:t>How to address the concern on difference between test and field</w:t>
                      </w:r>
                    </w:p>
                  </w:txbxContent>
                </v:textbox>
                <w10:wrap type="topAndBottom"/>
              </v:shape>
            </w:pict>
          </mc:Fallback>
        </mc:AlternateContent>
      </w:r>
      <w:r w:rsidR="000E1C8E" w:rsidRPr="002C4EAB">
        <w:t xml:space="preserve">In the WF from the previous meeting on the polarization mismatch objective </w:t>
      </w:r>
      <w:r w:rsidR="000E1C8E" w:rsidRPr="002C4EAB">
        <w:fldChar w:fldCharType="begin"/>
      </w:r>
      <w:r w:rsidR="000E1C8E" w:rsidRPr="002C4EAB">
        <w:instrText xml:space="preserve"> REF _Ref54273223 \w \h </w:instrText>
      </w:r>
      <w:r w:rsidR="000E1C8E" w:rsidRPr="002C4EAB">
        <w:fldChar w:fldCharType="separate"/>
      </w:r>
      <w:r w:rsidR="009E602A">
        <w:t>[4]</w:t>
      </w:r>
      <w:r w:rsidR="000E1C8E" w:rsidRPr="002C4EAB">
        <w:fldChar w:fldCharType="end"/>
      </w:r>
      <w:r w:rsidR="000E1C8E" w:rsidRPr="002C4EAB">
        <w:t>, the following three options</w:t>
      </w:r>
      <w:r w:rsidR="00284CA2" w:rsidRPr="002C4EAB">
        <w:t xml:space="preserve"> were captured for this SI to focus on</w:t>
      </w:r>
    </w:p>
    <w:p w14:paraId="4C96474D" w14:textId="77777777" w:rsidR="00140091" w:rsidRPr="002C4EAB" w:rsidRDefault="00E61BFF" w:rsidP="00140091">
      <w:pPr>
        <w:pStyle w:val="Heading1"/>
        <w:ind w:left="567" w:hanging="567"/>
      </w:pPr>
      <w:r w:rsidRPr="002C4EAB">
        <w:t>TPMI side condition method</w:t>
      </w:r>
      <w:r w:rsidR="00140091" w:rsidRPr="002C4EAB">
        <w:t xml:space="preserve"> </w:t>
      </w:r>
    </w:p>
    <w:p w14:paraId="25F2B8D6" w14:textId="6A8E46DE" w:rsidR="00284CA2" w:rsidRPr="002C4EAB" w:rsidRDefault="00284CA2" w:rsidP="00E03F11">
      <w:r w:rsidRPr="002C4EAB">
        <w:t xml:space="preserve">As outlined in </w:t>
      </w:r>
      <w:r w:rsidRPr="002C4EAB">
        <w:fldChar w:fldCharType="begin"/>
      </w:r>
      <w:r w:rsidRPr="002C4EAB">
        <w:instrText xml:space="preserve"> REF _Ref54273331 \w \h </w:instrText>
      </w:r>
      <w:r w:rsidRPr="002C4EAB">
        <w:fldChar w:fldCharType="separate"/>
      </w:r>
      <w:r w:rsidR="009E602A">
        <w:t>[5]</w:t>
      </w:r>
      <w:r w:rsidRPr="002C4EAB">
        <w:fldChar w:fldCharType="end"/>
      </w:r>
      <w:r w:rsidRPr="002C4EAB">
        <w:t xml:space="preserve">, </w:t>
      </w:r>
      <w:r w:rsidR="00094471" w:rsidRPr="002C4EAB">
        <w:t xml:space="preserve">after </w:t>
      </w:r>
      <w:r w:rsidRPr="002C4EAB">
        <w:t xml:space="preserve">a closer review of </w:t>
      </w:r>
      <w:r w:rsidRPr="002C4EAB">
        <w:fldChar w:fldCharType="begin"/>
      </w:r>
      <w:r w:rsidRPr="002C4EAB">
        <w:instrText xml:space="preserve"> REF _Ref47109491 \w \h </w:instrText>
      </w:r>
      <w:r w:rsidRPr="002C4EAB">
        <w:fldChar w:fldCharType="separate"/>
      </w:r>
      <w:r w:rsidR="009E602A">
        <w:t>[7]</w:t>
      </w:r>
      <w:r w:rsidRPr="002C4EAB">
        <w:fldChar w:fldCharType="end"/>
      </w:r>
      <w:r w:rsidRPr="002C4EAB">
        <w:fldChar w:fldCharType="begin"/>
      </w:r>
      <w:r w:rsidRPr="002C4EAB">
        <w:instrText xml:space="preserve"> REF _Ref47109501 \w \h </w:instrText>
      </w:r>
      <w:r w:rsidRPr="002C4EAB">
        <w:fldChar w:fldCharType="separate"/>
      </w:r>
      <w:r w:rsidR="009E602A">
        <w:t>[8]</w:t>
      </w:r>
      <w:r w:rsidRPr="002C4EAB">
        <w:fldChar w:fldCharType="end"/>
      </w:r>
      <w:r w:rsidRPr="002C4EAB">
        <w:fldChar w:fldCharType="begin"/>
      </w:r>
      <w:r w:rsidRPr="002C4EAB">
        <w:instrText xml:space="preserve"> REF _Ref47109674 \w \h </w:instrText>
      </w:r>
      <w:r w:rsidRPr="002C4EAB">
        <w:fldChar w:fldCharType="separate"/>
      </w:r>
      <w:r w:rsidR="009E602A">
        <w:t>[9]</w:t>
      </w:r>
      <w:r w:rsidRPr="002C4EAB">
        <w:fldChar w:fldCharType="end"/>
      </w:r>
      <w:r w:rsidRPr="002C4EAB">
        <w:t xml:space="preserve">, the following observations were made </w:t>
      </w:r>
    </w:p>
    <w:p w14:paraId="4DD78FC2" w14:textId="7E7474E6" w:rsidR="00C04948" w:rsidRPr="002C4EAB" w:rsidRDefault="00C04948" w:rsidP="00C04948">
      <w:pPr>
        <w:pStyle w:val="Caption"/>
      </w:pPr>
      <w:bookmarkStart w:id="4" w:name="_Ref47111466"/>
      <w:r w:rsidRPr="002C4EAB">
        <w:t xml:space="preserve">Observation </w:t>
      </w:r>
      <w:r w:rsidRPr="002C4EAB">
        <w:fldChar w:fldCharType="begin"/>
      </w:r>
      <w:r w:rsidRPr="002C4EAB">
        <w:instrText xml:space="preserve"> SEQ Observation \* ARABIC </w:instrText>
      </w:r>
      <w:r w:rsidRPr="002C4EAB">
        <w:fldChar w:fldCharType="separate"/>
      </w:r>
      <w:r w:rsidR="009E602A">
        <w:rPr>
          <w:noProof/>
        </w:rPr>
        <w:t>1</w:t>
      </w:r>
      <w:r w:rsidRPr="002C4EAB">
        <w:fldChar w:fldCharType="end"/>
      </w:r>
      <w:r w:rsidRPr="002C4EAB">
        <w:t>: For coherent UEs, both Rel-15 and Rel-16 allow a TPMI to be used that forces single-layer transmission using two antenna ports.</w:t>
      </w:r>
      <w:bookmarkEnd w:id="4"/>
    </w:p>
    <w:p w14:paraId="34A239FC" w14:textId="4848EFA5" w:rsidR="003A4625" w:rsidRPr="002C4EAB" w:rsidRDefault="003A4625" w:rsidP="003A4625">
      <w:pPr>
        <w:pStyle w:val="Caption"/>
      </w:pPr>
      <w:bookmarkStart w:id="5" w:name="_Ref47111467"/>
      <w:r w:rsidRPr="002C4EAB">
        <w:lastRenderedPageBreak/>
        <w:t xml:space="preserve">Observation </w:t>
      </w:r>
      <w:r w:rsidRPr="002C4EAB">
        <w:fldChar w:fldCharType="begin"/>
      </w:r>
      <w:r w:rsidRPr="002C4EAB">
        <w:instrText xml:space="preserve"> SEQ Observation \* ARABIC </w:instrText>
      </w:r>
      <w:r w:rsidRPr="002C4EAB">
        <w:fldChar w:fldCharType="separate"/>
      </w:r>
      <w:r w:rsidR="009E602A">
        <w:rPr>
          <w:noProof/>
        </w:rPr>
        <w:t>2</w:t>
      </w:r>
      <w:r w:rsidRPr="002C4EAB">
        <w:fldChar w:fldCharType="end"/>
      </w:r>
      <w:r w:rsidRPr="002C4EAB">
        <w:t>: For non-coherent UEs, Rel-15 does not allow a TPMI to be used that forces single-layer transmission using two antenna ports.</w:t>
      </w:r>
      <w:bookmarkEnd w:id="5"/>
    </w:p>
    <w:p w14:paraId="64E78EE9" w14:textId="0A58C8F6" w:rsidR="003A4625" w:rsidRPr="002C4EAB" w:rsidRDefault="003A4625" w:rsidP="003A4625">
      <w:pPr>
        <w:pStyle w:val="Caption"/>
      </w:pPr>
      <w:bookmarkStart w:id="6" w:name="_Ref47111468"/>
      <w:r w:rsidRPr="002C4EAB">
        <w:t xml:space="preserve">Observation </w:t>
      </w:r>
      <w:r w:rsidRPr="002C4EAB">
        <w:fldChar w:fldCharType="begin"/>
      </w:r>
      <w:r w:rsidRPr="002C4EAB">
        <w:instrText xml:space="preserve"> SEQ Observation \* ARABIC </w:instrText>
      </w:r>
      <w:r w:rsidRPr="002C4EAB">
        <w:fldChar w:fldCharType="separate"/>
      </w:r>
      <w:r w:rsidR="009E602A">
        <w:rPr>
          <w:noProof/>
        </w:rPr>
        <w:t>3</w:t>
      </w:r>
      <w:r w:rsidRPr="002C4EAB">
        <w:fldChar w:fldCharType="end"/>
      </w:r>
      <w:r w:rsidRPr="002C4EAB">
        <w:t xml:space="preserve">: For non-coherent UEs, Rel-16 allows a TPMI to be used that forces single-layer transmission using two antenna ports with the newly introduced ul-FullPowerTransmission </w:t>
      </w:r>
      <w:r w:rsidRPr="002C4EAB">
        <w:rPr>
          <w:lang w:eastAsia="zh-CN"/>
        </w:rPr>
        <w:t>=</w:t>
      </w:r>
      <w:r w:rsidRPr="002C4EAB">
        <w:t xml:space="preserve"> fullpowerMode</w:t>
      </w:r>
      <w:r w:rsidRPr="002C4EAB">
        <w:rPr>
          <w:lang w:eastAsia="zh-CN"/>
        </w:rPr>
        <w:t>1 mode</w:t>
      </w:r>
      <w:r w:rsidRPr="002C4EAB">
        <w:t>.</w:t>
      </w:r>
      <w:bookmarkEnd w:id="6"/>
    </w:p>
    <w:p w14:paraId="131553E0" w14:textId="02BC895F" w:rsidR="003A4625" w:rsidRPr="002C4EAB" w:rsidRDefault="003A4625" w:rsidP="00C04948">
      <w:r w:rsidRPr="002C4EAB">
        <w:t xml:space="preserve">In summary, TPMI does not allow </w:t>
      </w:r>
      <w:r w:rsidR="00284CA2" w:rsidRPr="002C4EAB">
        <w:t>Rel-15</w:t>
      </w:r>
      <w:r w:rsidRPr="002C4EAB">
        <w:t xml:space="preserve"> UEs to force single-layer transmission using two antenna ports</w:t>
      </w:r>
      <w:r w:rsidR="00284CA2" w:rsidRPr="002C4EAB">
        <w:t>, while TPMI allows Rel-16 UEs to force single-layer transmission using two antenna ports</w:t>
      </w:r>
      <w:r w:rsidRPr="002C4EAB">
        <w:t>.</w:t>
      </w:r>
    </w:p>
    <w:p w14:paraId="17BF2990" w14:textId="3A2A1544" w:rsidR="00286EE3" w:rsidRPr="002C4EAB" w:rsidRDefault="003A4625" w:rsidP="00C04948">
      <w:r w:rsidRPr="002C4EAB">
        <w:t xml:space="preserve">On the other hand, </w:t>
      </w:r>
      <w:r w:rsidR="00E61BFF" w:rsidRPr="002C4EAB">
        <w:t>it is not clear</w:t>
      </w:r>
      <w:r w:rsidRPr="002C4EAB">
        <w:t xml:space="preserve"> whether RAN1’s definition of </w:t>
      </w:r>
      <w:r w:rsidR="00286EE3" w:rsidRPr="002C4EAB">
        <w:t xml:space="preserve">TPMI indices 2-5 </w:t>
      </w:r>
      <w:r w:rsidRPr="002C4EAB">
        <w:t xml:space="preserve">forcing </w:t>
      </w:r>
      <w:r w:rsidR="00286EE3" w:rsidRPr="002C4EAB">
        <w:t>single-layer transmission using two antenna ports corresponds to the UE enabling two transmit chains at all times.</w:t>
      </w:r>
    </w:p>
    <w:p w14:paraId="1D80EEA1" w14:textId="590A98A6" w:rsidR="003A4625" w:rsidRPr="002C4EAB" w:rsidRDefault="00E61BFF" w:rsidP="00E61BFF">
      <w:pPr>
        <w:pStyle w:val="Caption"/>
      </w:pPr>
      <w:bookmarkStart w:id="7" w:name="_Ref47111469"/>
      <w:r w:rsidRPr="002C4EAB">
        <w:t xml:space="preserve">Proposal </w:t>
      </w:r>
      <w:r w:rsidRPr="002C4EAB">
        <w:fldChar w:fldCharType="begin"/>
      </w:r>
      <w:r w:rsidRPr="002C4EAB">
        <w:instrText xml:space="preserve"> SEQ Proposal \* ARABIC </w:instrText>
      </w:r>
      <w:r w:rsidRPr="002C4EAB">
        <w:fldChar w:fldCharType="separate"/>
      </w:r>
      <w:r w:rsidR="009E602A">
        <w:rPr>
          <w:noProof/>
        </w:rPr>
        <w:t>1</w:t>
      </w:r>
      <w:r w:rsidRPr="002C4EAB">
        <w:fldChar w:fldCharType="end"/>
      </w:r>
      <w:r w:rsidRPr="002C4EAB">
        <w:t>: Clarification is needed</w:t>
      </w:r>
      <w:r w:rsidR="00286EE3" w:rsidRPr="002C4EAB">
        <w:t xml:space="preserve"> whether RAN1’s definition of TPMI indices 2-5 forcing single-layer transmission using two antenna ports corresponds to the UE enabling two transmit chains at all times</w:t>
      </w:r>
      <w:bookmarkEnd w:id="7"/>
    </w:p>
    <w:p w14:paraId="6A212704" w14:textId="13F7B1C6" w:rsidR="00286EE3" w:rsidRPr="002C4EAB" w:rsidRDefault="00286EE3" w:rsidP="00286EE3">
      <w:r w:rsidRPr="002C4EAB">
        <w:t xml:space="preserve">Since the TPMI cannot guarantee that all UEs, specifically Rel-15 non-coherent UEs, simultaneously transmit on both transmit chain/antennas, </w:t>
      </w:r>
      <w:r w:rsidR="00AD294A" w:rsidRPr="002C4EAB">
        <w:t xml:space="preserve">the applicability of this method is rather limited. </w:t>
      </w:r>
    </w:p>
    <w:p w14:paraId="206BA8D0" w14:textId="5867097A" w:rsidR="00AD294A" w:rsidRPr="002C4EAB" w:rsidRDefault="00AD294A" w:rsidP="00AD294A">
      <w:pPr>
        <w:pStyle w:val="Caption"/>
      </w:pPr>
      <w:bookmarkStart w:id="8" w:name="_Ref54291420"/>
      <w:r w:rsidRPr="002C4EAB">
        <w:t xml:space="preserve">Proposal </w:t>
      </w:r>
      <w:r w:rsidRPr="002C4EAB">
        <w:fldChar w:fldCharType="begin"/>
      </w:r>
      <w:r w:rsidRPr="002C4EAB">
        <w:instrText xml:space="preserve"> SEQ Proposal \* ARABIC </w:instrText>
      </w:r>
      <w:r w:rsidRPr="002C4EAB">
        <w:fldChar w:fldCharType="separate"/>
      </w:r>
      <w:r w:rsidR="009E602A">
        <w:rPr>
          <w:noProof/>
        </w:rPr>
        <w:t>2</w:t>
      </w:r>
      <w:r w:rsidRPr="002C4EAB">
        <w:fldChar w:fldCharType="end"/>
      </w:r>
      <w:r w:rsidRPr="002C4EAB">
        <w:t>: Given the limited applicability of the TPMI approach and the uncertainty whether transmission using two antenna ports corresponds to enabling both transmit chains, it is proposed to focus on the alternative approaches instead.</w:t>
      </w:r>
      <w:bookmarkEnd w:id="8"/>
      <w:r w:rsidRPr="002C4EAB">
        <w:t xml:space="preserve"> </w:t>
      </w:r>
    </w:p>
    <w:p w14:paraId="50A47339" w14:textId="4FE40EFC" w:rsidR="00140091" w:rsidRPr="002C4EAB" w:rsidRDefault="00140091" w:rsidP="00140091">
      <w:pPr>
        <w:pStyle w:val="Heading1"/>
        <w:ind w:left="567" w:hanging="567"/>
      </w:pPr>
      <w:r w:rsidRPr="002C4EAB">
        <w:t>P</w:t>
      </w:r>
      <w:r w:rsidR="00E61BFF" w:rsidRPr="002C4EAB">
        <w:t xml:space="preserve">olarization </w:t>
      </w:r>
      <w:r w:rsidRPr="002C4EAB">
        <w:t>S</w:t>
      </w:r>
      <w:r w:rsidR="00E61BFF" w:rsidRPr="002C4EAB">
        <w:t xml:space="preserve">can </w:t>
      </w:r>
    </w:p>
    <w:p w14:paraId="6614471B" w14:textId="67DA004A" w:rsidR="00674417" w:rsidRPr="002C4EAB" w:rsidRDefault="00AD294A" w:rsidP="00674417">
      <w:r w:rsidRPr="002C4EAB">
        <w:t xml:space="preserve">It was previously shown that the polarization scan can reliably force the UE to simultaneously transmit on both transmit chain/antennas </w:t>
      </w:r>
      <w:r w:rsidRPr="002C4EAB">
        <w:fldChar w:fldCharType="begin"/>
      </w:r>
      <w:r w:rsidRPr="002C4EAB">
        <w:instrText xml:space="preserve"> REF _Ref47108671 \r \h </w:instrText>
      </w:r>
      <w:r w:rsidRPr="002C4EAB">
        <w:fldChar w:fldCharType="separate"/>
      </w:r>
      <w:r w:rsidR="009E602A">
        <w:t>[3]</w:t>
      </w:r>
      <w:r w:rsidRPr="002C4EAB">
        <w:fldChar w:fldCharType="end"/>
      </w:r>
      <w:r w:rsidRPr="002C4EAB">
        <w:t xml:space="preserve"> in order to </w:t>
      </w:r>
      <w:r w:rsidRPr="002C4EAB">
        <w:rPr>
          <w:rFonts w:eastAsia="Batang"/>
        </w:rPr>
        <w:t>minimize the impact of polarization basis mismatch between the TE and DUT.</w:t>
      </w:r>
      <w:r w:rsidRPr="002C4EAB">
        <w:t xml:space="preserve"> </w:t>
      </w:r>
      <w:r w:rsidR="00674417" w:rsidRPr="002C4EAB">
        <w:t xml:space="preserve">This polarization scan using sequential linear polarizations in the DL to the UE </w:t>
      </w:r>
      <w:r w:rsidR="00547409" w:rsidRPr="002C4EAB">
        <w:t>is</w:t>
      </w:r>
      <w:r w:rsidR="00674417" w:rsidRPr="002C4EAB">
        <w:t xml:space="preserve"> further illustrated in </w:t>
      </w:r>
      <w:r w:rsidR="00674417" w:rsidRPr="002C4EAB">
        <w:fldChar w:fldCharType="begin"/>
      </w:r>
      <w:r w:rsidR="00674417" w:rsidRPr="002C4EAB">
        <w:instrText xml:space="preserve"> REF _Ref4424333 \h </w:instrText>
      </w:r>
      <w:r w:rsidR="00674417" w:rsidRPr="002C4EAB">
        <w:fldChar w:fldCharType="separate"/>
      </w:r>
      <w:r w:rsidR="009E602A" w:rsidRPr="002C4EAB">
        <w:t xml:space="preserve">Figure </w:t>
      </w:r>
      <w:r w:rsidR="009E602A">
        <w:rPr>
          <w:noProof/>
        </w:rPr>
        <w:t>1</w:t>
      </w:r>
      <w:r w:rsidR="00674417" w:rsidRPr="002C4EAB">
        <w:fldChar w:fldCharType="end"/>
      </w:r>
      <w:r w:rsidR="00674417" w:rsidRPr="002C4EAB">
        <w:t>.</w:t>
      </w:r>
    </w:p>
    <w:p w14:paraId="32F8D510" w14:textId="77777777" w:rsidR="00674417" w:rsidRPr="002C4EAB" w:rsidRDefault="00674417" w:rsidP="00674417">
      <w:pPr>
        <w:pStyle w:val="Caption"/>
        <w:spacing w:before="0" w:after="0"/>
        <w:jc w:val="center"/>
      </w:pPr>
      <w:bookmarkStart w:id="9" w:name="_Ref4424088"/>
      <w:r w:rsidRPr="002C4EAB">
        <w:rPr>
          <w:noProof/>
        </w:rPr>
        <w:drawing>
          <wp:inline distT="0" distB="0" distL="0" distR="0" wp14:anchorId="59882D8D" wp14:editId="58486B37">
            <wp:extent cx="1828800" cy="988060"/>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28800" cy="988060"/>
                    </a:xfrm>
                    <a:prstGeom prst="rect">
                      <a:avLst/>
                    </a:prstGeom>
                    <a:noFill/>
                  </pic:spPr>
                </pic:pic>
              </a:graphicData>
            </a:graphic>
          </wp:inline>
        </w:drawing>
      </w:r>
      <w:r w:rsidRPr="002C4EAB">
        <w:t xml:space="preserve"> </w:t>
      </w:r>
    </w:p>
    <w:p w14:paraId="0F12A321" w14:textId="68E8A887" w:rsidR="00674417" w:rsidRPr="002C4EAB" w:rsidRDefault="00674417" w:rsidP="00674417">
      <w:pPr>
        <w:pStyle w:val="Caption"/>
        <w:jc w:val="center"/>
      </w:pPr>
      <w:bookmarkStart w:id="10" w:name="_Ref4424333"/>
      <w:r w:rsidRPr="002C4EAB">
        <w:t xml:space="preserve">Figure </w:t>
      </w:r>
      <w:r w:rsidRPr="002C4EAB">
        <w:fldChar w:fldCharType="begin"/>
      </w:r>
      <w:r w:rsidRPr="002C4EAB">
        <w:instrText xml:space="preserve"> SEQ Figure \* ARABIC </w:instrText>
      </w:r>
      <w:r w:rsidRPr="002C4EAB">
        <w:fldChar w:fldCharType="separate"/>
      </w:r>
      <w:r w:rsidR="009E602A">
        <w:rPr>
          <w:noProof/>
        </w:rPr>
        <w:t>1</w:t>
      </w:r>
      <w:r w:rsidRPr="002C4EAB">
        <w:fldChar w:fldCharType="end"/>
      </w:r>
      <w:bookmarkEnd w:id="9"/>
      <w:bookmarkEnd w:id="10"/>
      <w:r w:rsidRPr="002C4EAB">
        <w:t>: Use of Polarization Scan with Linear Polarization</w:t>
      </w:r>
    </w:p>
    <w:p w14:paraId="5908D412" w14:textId="49DD069A" w:rsidR="00674417" w:rsidRPr="002C4EAB" w:rsidRDefault="00674417" w:rsidP="00674417">
      <w:r w:rsidRPr="002C4EAB">
        <w:t xml:space="preserve">Here, the combined DL/UL polarization planes of the dual linear polarized measurement antenna are changed between </w:t>
      </w:r>
      <w:r w:rsidRPr="002C4EAB">
        <w:rPr>
          <w:i/>
        </w:rPr>
        <w:t>N</w:t>
      </w:r>
      <w:r w:rsidRPr="002C4EAB">
        <w:t xml:space="preserve"> differen</w:t>
      </w:r>
      <w:r w:rsidR="00AD294A" w:rsidRPr="002C4EAB">
        <w:t>t</w:t>
      </w:r>
      <w:r w:rsidRPr="002C4EAB">
        <w:t xml:space="preserve"> scans with the orthogonal polarization planes tilted by 90</w:t>
      </w:r>
      <w:r w:rsidRPr="002C4EAB">
        <w:rPr>
          <w:vertAlign w:val="superscript"/>
        </w:rPr>
        <w:t>o</w:t>
      </w:r>
      <w:r w:rsidRPr="002C4EAB">
        <w:t>/</w:t>
      </w:r>
      <w:r w:rsidRPr="002C4EAB">
        <w:rPr>
          <w:i/>
        </w:rPr>
        <w:t>N</w:t>
      </w:r>
      <w:r w:rsidRPr="002C4EAB">
        <w:t xml:space="preserve"> between subsequent scans. For the example in </w:t>
      </w:r>
      <w:r w:rsidRPr="002C4EAB">
        <w:fldChar w:fldCharType="begin"/>
      </w:r>
      <w:r w:rsidRPr="002C4EAB">
        <w:instrText xml:space="preserve"> REF _Ref4424333 \h </w:instrText>
      </w:r>
      <w:r w:rsidRPr="002C4EAB">
        <w:fldChar w:fldCharType="separate"/>
      </w:r>
      <w:r w:rsidR="009E602A" w:rsidRPr="002C4EAB">
        <w:t xml:space="preserve">Figure </w:t>
      </w:r>
      <w:r w:rsidR="009E602A">
        <w:rPr>
          <w:noProof/>
        </w:rPr>
        <w:t>1</w:t>
      </w:r>
      <w:r w:rsidRPr="002C4EAB">
        <w:fldChar w:fldCharType="end"/>
      </w:r>
      <w:r w:rsidRPr="002C4EAB">
        <w:t xml:space="preserve">, </w:t>
      </w:r>
      <w:r w:rsidRPr="002C4EAB">
        <w:rPr>
          <w:i/>
        </w:rPr>
        <w:t>N</w:t>
      </w:r>
      <w:r w:rsidRPr="002C4EAB">
        <w:t xml:space="preserve"> is 4 and the polarization planes differ by 22.5</w:t>
      </w:r>
      <w:r w:rsidRPr="002C4EAB">
        <w:rPr>
          <w:vertAlign w:val="superscript"/>
        </w:rPr>
        <w:t>o</w:t>
      </w:r>
      <w:r w:rsidRPr="002C4EAB">
        <w:t>, respectively.</w:t>
      </w:r>
      <w:r w:rsidR="009F6261" w:rsidRPr="002C4EAB">
        <w:t xml:space="preserve"> </w:t>
      </w:r>
    </w:p>
    <w:p w14:paraId="4D634CCF" w14:textId="48CDC362" w:rsidR="00674417" w:rsidRPr="002C4EAB" w:rsidRDefault="00674417" w:rsidP="00674417">
      <w:r w:rsidRPr="002C4EAB">
        <w:t xml:space="preserve">Introducing a </w:t>
      </w:r>
      <w:bookmarkStart w:id="11" w:name="_Hlk4425010"/>
      <w:r w:rsidRPr="002C4EAB">
        <w:t xml:space="preserve">polarization scan with </w:t>
      </w:r>
      <w:r w:rsidRPr="002C4EAB">
        <w:rPr>
          <w:i/>
        </w:rPr>
        <w:t>N</w:t>
      </w:r>
      <w:r w:rsidRPr="002C4EAB">
        <w:t xml:space="preserve"> different polarization scans obviously requires the test time for all EIRP based tests (single grid point, TRP based multiple grid point, non TRP based multiple grid point) to increase by a factor of approximately </w:t>
      </w:r>
      <w:r w:rsidRPr="002C4EAB">
        <w:rPr>
          <w:i/>
        </w:rPr>
        <w:t>N</w:t>
      </w:r>
      <w:bookmarkEnd w:id="11"/>
      <w:r w:rsidRPr="002C4EAB">
        <w:t xml:space="preserve"> as this polarization scan would have to be performed on every measurement grid point including TX beam peak search and MOP-spherical coverage.</w:t>
      </w:r>
    </w:p>
    <w:p w14:paraId="18F12CA0" w14:textId="1BBBB310" w:rsidR="0021429F" w:rsidRPr="002C4EAB" w:rsidRDefault="0021429F" w:rsidP="0021429F">
      <w:pPr>
        <w:pStyle w:val="Caption"/>
        <w:rPr>
          <w:noProof/>
        </w:rPr>
      </w:pPr>
      <w:bookmarkStart w:id="12" w:name="_Ref5025742"/>
      <w:r w:rsidRPr="002C4EAB">
        <w:t xml:space="preserve">Observation </w:t>
      </w:r>
      <w:r w:rsidRPr="002C4EAB">
        <w:fldChar w:fldCharType="begin"/>
      </w:r>
      <w:r w:rsidRPr="002C4EAB">
        <w:instrText xml:space="preserve"> SEQ Observation \* ARABIC </w:instrText>
      </w:r>
      <w:r w:rsidRPr="002C4EAB">
        <w:fldChar w:fldCharType="separate"/>
      </w:r>
      <w:r w:rsidR="009E602A">
        <w:rPr>
          <w:noProof/>
        </w:rPr>
        <w:t>4</w:t>
      </w:r>
      <w:r w:rsidRPr="002C4EAB">
        <w:fldChar w:fldCharType="end"/>
      </w:r>
      <w:r w:rsidRPr="002C4EAB">
        <w:rPr>
          <w:noProof/>
        </w:rPr>
        <w:t xml:space="preserve"> : A polarization scan with </w:t>
      </w:r>
      <w:r w:rsidRPr="002C4EAB">
        <w:rPr>
          <w:i/>
          <w:noProof/>
        </w:rPr>
        <w:t>N</w:t>
      </w:r>
      <w:r w:rsidRPr="002C4EAB">
        <w:rPr>
          <w:noProof/>
        </w:rPr>
        <w:t xml:space="preserve"> different scans requires the EIRP based test times to increase approximately by a factor or </w:t>
      </w:r>
      <w:r w:rsidRPr="002C4EAB">
        <w:rPr>
          <w:i/>
          <w:noProof/>
        </w:rPr>
        <w:t>N</w:t>
      </w:r>
      <w:bookmarkEnd w:id="12"/>
      <w:r w:rsidRPr="002C4EAB">
        <w:rPr>
          <w:noProof/>
        </w:rPr>
        <w:t xml:space="preserve"> </w:t>
      </w:r>
    </w:p>
    <w:p w14:paraId="40E3530F" w14:textId="0118A2FB" w:rsidR="00674417" w:rsidRPr="002C4EAB" w:rsidRDefault="00674417" w:rsidP="00674417">
      <w:r w:rsidRPr="002C4EAB">
        <w:fldChar w:fldCharType="begin"/>
      </w:r>
      <w:r w:rsidRPr="002C4EAB">
        <w:instrText xml:space="preserve"> REF _Ref4426881 \h </w:instrText>
      </w:r>
      <w:r w:rsidRPr="002C4EAB">
        <w:fldChar w:fldCharType="separate"/>
      </w:r>
      <w:r w:rsidR="009E602A" w:rsidRPr="002C4EAB">
        <w:t xml:space="preserve">Figure </w:t>
      </w:r>
      <w:r w:rsidR="009E602A">
        <w:rPr>
          <w:noProof/>
        </w:rPr>
        <w:t>2</w:t>
      </w:r>
      <w:r w:rsidRPr="002C4EAB">
        <w:fldChar w:fldCharType="end"/>
      </w:r>
      <w:r w:rsidRPr="002C4EAB">
        <w:t xml:space="preserve"> illustrates different examples and results for </w:t>
      </w:r>
      <w:r w:rsidR="00AD294A" w:rsidRPr="002C4EAB">
        <w:t xml:space="preserve">the total component of EIRP, </w:t>
      </w:r>
      <w:r w:rsidRPr="002C4EAB">
        <w:t>EIRP</w:t>
      </w:r>
      <w:r w:rsidRPr="002C4EAB">
        <w:rPr>
          <w:vertAlign w:val="subscript"/>
        </w:rPr>
        <w:t>total</w:t>
      </w:r>
      <w:r w:rsidRPr="002C4EAB">
        <w:t>. For each Test ID, only one DL polarization is presented to the UE at a time, i.e., no simultaneous DL signals, and the UL measurements are performed separately with each of the two orthogonal polarizations of the measurement antenna. For Test IDs 1 and 2, the 1</w:t>
      </w:r>
      <w:r w:rsidRPr="002C4EAB">
        <w:rPr>
          <w:vertAlign w:val="superscript"/>
        </w:rPr>
        <w:t>st</w:t>
      </w:r>
      <w:r w:rsidRPr="002C4EAB">
        <w:t xml:space="preserve"> polarization scan is utilized and for each subsequent pair of the Test IDs, the TE polarization planes are increased by 22.5</w:t>
      </w:r>
      <w:r w:rsidRPr="002C4EAB">
        <w:rPr>
          <w:vertAlign w:val="superscript"/>
        </w:rPr>
        <w:t>o</w:t>
      </w:r>
      <w:r w:rsidRPr="002C4EAB">
        <w:t>. For all test IDs other than 5 and 6, the total EIRP is 30dBm</w:t>
      </w:r>
      <w:r w:rsidR="00771D2F">
        <w:t xml:space="preserve"> (assumed sample EIRP)</w:t>
      </w:r>
      <w:r w:rsidRPr="002C4EAB">
        <w:t xml:space="preserve"> as the DL polarizations are assumed to only trigger one TX (instead of both) to transmit at max power for the UE architectures analysed in this contribution. For Test IDs 5 and 6, the DL polarization triggers both TXs to transmit an EIRP of 30dBm and the diversity gain is properly captured. It should be noted that FEs that transmit on both polarizations simultaneously regardless of DL will yield 33dBm EIRP</w:t>
      </w:r>
      <w:r w:rsidRPr="002C4EAB">
        <w:rPr>
          <w:vertAlign w:val="subscript"/>
        </w:rPr>
        <w:t>total</w:t>
      </w:r>
      <w:r w:rsidRPr="002C4EAB">
        <w:t xml:space="preserve"> measurements for each polarization scan. </w:t>
      </w:r>
    </w:p>
    <w:p w14:paraId="6BF634F9" w14:textId="77777777" w:rsidR="00674417" w:rsidRPr="002C4EAB" w:rsidRDefault="00674417" w:rsidP="00674417">
      <w:pPr>
        <w:spacing w:after="0"/>
        <w:jc w:val="center"/>
      </w:pPr>
      <w:r w:rsidRPr="002C4EAB">
        <w:rPr>
          <w:noProof/>
        </w:rPr>
        <w:lastRenderedPageBreak/>
        <w:drawing>
          <wp:inline distT="0" distB="0" distL="0" distR="0" wp14:anchorId="5733DE4C" wp14:editId="7BE3F248">
            <wp:extent cx="5486400" cy="242443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86400" cy="2424430"/>
                    </a:xfrm>
                    <a:prstGeom prst="rect">
                      <a:avLst/>
                    </a:prstGeom>
                    <a:noFill/>
                  </pic:spPr>
                </pic:pic>
              </a:graphicData>
            </a:graphic>
          </wp:inline>
        </w:drawing>
      </w:r>
    </w:p>
    <w:p w14:paraId="5F5B1C15" w14:textId="38871E4D" w:rsidR="00674417" w:rsidRPr="002C4EAB" w:rsidRDefault="00674417" w:rsidP="00674417">
      <w:pPr>
        <w:pStyle w:val="Caption"/>
        <w:jc w:val="center"/>
      </w:pPr>
      <w:bookmarkStart w:id="13" w:name="_Ref4426881"/>
      <w:r w:rsidRPr="002C4EAB">
        <w:t xml:space="preserve">Figure </w:t>
      </w:r>
      <w:r w:rsidRPr="002C4EAB">
        <w:fldChar w:fldCharType="begin"/>
      </w:r>
      <w:r w:rsidRPr="002C4EAB">
        <w:instrText xml:space="preserve"> SEQ Figure \* ARABIC </w:instrText>
      </w:r>
      <w:r w:rsidRPr="002C4EAB">
        <w:fldChar w:fldCharType="separate"/>
      </w:r>
      <w:r w:rsidR="009E602A">
        <w:rPr>
          <w:noProof/>
        </w:rPr>
        <w:t>2</w:t>
      </w:r>
      <w:r w:rsidRPr="002C4EAB">
        <w:fldChar w:fldCharType="end"/>
      </w:r>
      <w:bookmarkEnd w:id="13"/>
      <w:r w:rsidRPr="002C4EAB">
        <w:t>: Measurement results for EIRP</w:t>
      </w:r>
      <w:r w:rsidRPr="002C4EAB">
        <w:rPr>
          <w:vertAlign w:val="subscript"/>
        </w:rPr>
        <w:t>total</w:t>
      </w:r>
      <w:r w:rsidRPr="002C4EAB">
        <w:t xml:space="preserve"> for </w:t>
      </w:r>
      <w:r w:rsidRPr="002C4EAB">
        <w:rPr>
          <w:i/>
          <w:iCs/>
        </w:rPr>
        <w:t>N</w:t>
      </w:r>
      <w:r w:rsidRPr="002C4EAB">
        <w:t>=4 different polarization scans with linear polarization.</w:t>
      </w:r>
    </w:p>
    <w:p w14:paraId="4551338F" w14:textId="420CDC44" w:rsidR="00674417" w:rsidRPr="002C4EAB" w:rsidRDefault="00674417" w:rsidP="00674417">
      <w:pPr>
        <w:pStyle w:val="Caption"/>
      </w:pPr>
      <w:bookmarkStart w:id="14" w:name="_Ref5026079"/>
      <w:r w:rsidRPr="002C4EAB">
        <w:t xml:space="preserve">Observation </w:t>
      </w:r>
      <w:r w:rsidRPr="002C4EAB">
        <w:fldChar w:fldCharType="begin"/>
      </w:r>
      <w:r w:rsidRPr="002C4EAB">
        <w:instrText xml:space="preserve"> SEQ Observation \* ARABIC </w:instrText>
      </w:r>
      <w:r w:rsidRPr="002C4EAB">
        <w:fldChar w:fldCharType="separate"/>
      </w:r>
      <w:r w:rsidR="009E602A">
        <w:rPr>
          <w:noProof/>
        </w:rPr>
        <w:t>5</w:t>
      </w:r>
      <w:r w:rsidRPr="002C4EAB">
        <w:fldChar w:fldCharType="end"/>
      </w:r>
      <w:r w:rsidRPr="002C4EAB">
        <w:t>: The polarization scan with linear polarizations can capture the TX diversity gain when the single DL polarization triggers both UE polarizations transmitted in UL</w:t>
      </w:r>
      <w:bookmarkEnd w:id="14"/>
    </w:p>
    <w:p w14:paraId="61DDCDAF" w14:textId="77777777" w:rsidR="00547409" w:rsidRPr="002C4EAB" w:rsidRDefault="00547409" w:rsidP="00547409">
      <w:r w:rsidRPr="002C4EAB">
        <w:t>Some investigations are needed to determine the minimum number of polarization scans but two scans, i.e., 0</w:t>
      </w:r>
      <w:r w:rsidRPr="002C4EAB">
        <w:rPr>
          <w:vertAlign w:val="superscript"/>
        </w:rPr>
        <w:t>o</w:t>
      </w:r>
      <w:r w:rsidRPr="002C4EAB">
        <w:t xml:space="preserve"> and 45</w:t>
      </w:r>
      <w:r w:rsidRPr="002C4EAB">
        <w:rPr>
          <w:vertAlign w:val="superscript"/>
        </w:rPr>
        <w:t>o</w:t>
      </w:r>
      <w:r w:rsidRPr="002C4EAB">
        <w:t xml:space="preserve">, might be sufficient to trigger both polarizations in the UL for at least one of the polarization scans. </w:t>
      </w:r>
    </w:p>
    <w:p w14:paraId="1528AE6F" w14:textId="346489E0" w:rsidR="00547409" w:rsidRPr="002C4EAB" w:rsidRDefault="00547409" w:rsidP="00547409">
      <w:pPr>
        <w:pStyle w:val="Caption"/>
      </w:pPr>
      <w:bookmarkStart w:id="15" w:name="_Ref20919928"/>
      <w:r w:rsidRPr="002C4EAB">
        <w:t xml:space="preserve">Proposal </w:t>
      </w:r>
      <w:r w:rsidRPr="002C4EAB">
        <w:fldChar w:fldCharType="begin"/>
      </w:r>
      <w:r w:rsidRPr="002C4EAB">
        <w:instrText xml:space="preserve"> SEQ Proposal \* ARABIC </w:instrText>
      </w:r>
      <w:r w:rsidRPr="002C4EAB">
        <w:fldChar w:fldCharType="separate"/>
      </w:r>
      <w:r w:rsidR="009E602A">
        <w:rPr>
          <w:noProof/>
        </w:rPr>
        <w:t>3</w:t>
      </w:r>
      <w:r w:rsidRPr="002C4EAB">
        <w:fldChar w:fldCharType="end"/>
      </w:r>
      <w:r w:rsidRPr="002C4EAB">
        <w:t>: OEMs to provide feedback on the minimum number of required polarization scans to guarantee the diversity gain to be captured reliably.</w:t>
      </w:r>
      <w:bookmarkEnd w:id="15"/>
    </w:p>
    <w:p w14:paraId="629FBB71" w14:textId="5467C678" w:rsidR="0021429F" w:rsidRPr="002C4EAB" w:rsidRDefault="00547409" w:rsidP="00547409">
      <w:r w:rsidRPr="002C4EAB">
        <w:t xml:space="preserve">While </w:t>
      </w:r>
      <w:r w:rsidR="0021429F" w:rsidRPr="002C4EAB">
        <w:t xml:space="preserve">the </w:t>
      </w:r>
      <w:r w:rsidRPr="002C4EAB">
        <w:t xml:space="preserve">polarization scan </w:t>
      </w:r>
      <w:r w:rsidR="0021429F" w:rsidRPr="002C4EAB">
        <w:t>undoubtedly</w:t>
      </w:r>
      <w:r w:rsidRPr="002C4EAB">
        <w:t xml:space="preserve"> increases test time, there is no technical reason why this approach is not feasible to trigger both polarizations in the UL and thus capture the diversity </w:t>
      </w:r>
      <w:r w:rsidR="00A0203B" w:rsidRPr="002C4EAB">
        <w:t xml:space="preserve">gain </w:t>
      </w:r>
      <w:r w:rsidRPr="002C4EAB">
        <w:t xml:space="preserve">reliably. </w:t>
      </w:r>
      <w:r w:rsidR="0021429F" w:rsidRPr="002C4EAB">
        <w:t xml:space="preserve">The other concern raised, i.e., </w:t>
      </w:r>
      <w:r w:rsidR="00E61BFF" w:rsidRPr="002C4EAB">
        <w:t xml:space="preserve">on </w:t>
      </w:r>
      <w:r w:rsidR="0021429F" w:rsidRPr="002C4EAB">
        <w:t xml:space="preserve">the </w:t>
      </w:r>
      <w:r w:rsidR="00E61BFF" w:rsidRPr="002C4EAB">
        <w:t>difference between test and field</w:t>
      </w:r>
      <w:r w:rsidR="0021429F" w:rsidRPr="002C4EAB">
        <w:t>, should be irrelevant as long as this methodology can reliably capture the diversity gain</w:t>
      </w:r>
      <w:r w:rsidR="00A0203B" w:rsidRPr="002C4EAB">
        <w:t>, i.e., the intent of the this SI’s topic</w:t>
      </w:r>
      <w:r w:rsidR="0021429F" w:rsidRPr="002C4EAB">
        <w:t>.</w:t>
      </w:r>
      <w:r w:rsidR="002C4EAB" w:rsidRPr="002C4EAB">
        <w:t xml:space="preserve"> It is furthermore important to understand what the expected behaviour in the field is and how it differs from the current measurement methodology </w:t>
      </w:r>
      <w:r w:rsidR="002C4EAB" w:rsidRPr="002C4EAB">
        <w:fldChar w:fldCharType="begin"/>
      </w:r>
      <w:r w:rsidR="002C4EAB" w:rsidRPr="002C4EAB">
        <w:instrText xml:space="preserve"> REF _Ref54347453 \r \h </w:instrText>
      </w:r>
      <w:r w:rsidR="002C4EAB" w:rsidRPr="002C4EAB">
        <w:fldChar w:fldCharType="separate"/>
      </w:r>
      <w:r w:rsidR="009E602A">
        <w:t>[10]</w:t>
      </w:r>
      <w:r w:rsidR="002C4EAB" w:rsidRPr="002C4EAB">
        <w:fldChar w:fldCharType="end"/>
      </w:r>
      <w:r w:rsidR="002C4EAB" w:rsidRPr="002C4EAB">
        <w:t xml:space="preserve">. </w:t>
      </w:r>
    </w:p>
    <w:p w14:paraId="60C08497" w14:textId="6C886BA9" w:rsidR="00547409" w:rsidRPr="002C4EAB" w:rsidRDefault="0021429F" w:rsidP="0021429F">
      <w:pPr>
        <w:pStyle w:val="Caption"/>
      </w:pPr>
      <w:bookmarkStart w:id="16" w:name="_Ref54290812"/>
      <w:bookmarkStart w:id="17" w:name="_Ref54350081"/>
      <w:r w:rsidRPr="002C4EAB">
        <w:t xml:space="preserve">Observation </w:t>
      </w:r>
      <w:r w:rsidRPr="002C4EAB">
        <w:fldChar w:fldCharType="begin"/>
      </w:r>
      <w:r w:rsidRPr="002C4EAB">
        <w:instrText xml:space="preserve"> SEQ Observation \* ARABIC </w:instrText>
      </w:r>
      <w:r w:rsidRPr="002C4EAB">
        <w:fldChar w:fldCharType="separate"/>
      </w:r>
      <w:r w:rsidR="009E602A">
        <w:rPr>
          <w:noProof/>
        </w:rPr>
        <w:t>6</w:t>
      </w:r>
      <w:r w:rsidRPr="002C4EAB">
        <w:fldChar w:fldCharType="end"/>
      </w:r>
      <w:r w:rsidRPr="002C4EAB">
        <w:t xml:space="preserve">: Whether there is a </w:t>
      </w:r>
      <w:r w:rsidR="00E61BFF" w:rsidRPr="002C4EAB">
        <w:t>difference between test and field</w:t>
      </w:r>
      <w:r w:rsidR="00C67A34" w:rsidRPr="002C4EAB">
        <w:t xml:space="preserve"> with the polarization scan</w:t>
      </w:r>
      <w:r w:rsidRPr="002C4EAB">
        <w:t xml:space="preserve"> should be irrelevant as long as this methodology can reliably capture the diversity gain</w:t>
      </w:r>
      <w:bookmarkEnd w:id="16"/>
      <w:r w:rsidR="002C4EAB" w:rsidRPr="002C4EAB">
        <w:t>.</w:t>
      </w:r>
      <w:bookmarkEnd w:id="17"/>
    </w:p>
    <w:p w14:paraId="4D26B401" w14:textId="42433157" w:rsidR="002C4EAB" w:rsidRPr="002C4EAB" w:rsidRDefault="00B62388" w:rsidP="00B62388">
      <w:pPr>
        <w:pStyle w:val="Caption"/>
      </w:pPr>
      <w:bookmarkStart w:id="18" w:name="_Ref54350082"/>
      <w:r>
        <w:t xml:space="preserve">Proposal </w:t>
      </w:r>
      <w:r>
        <w:fldChar w:fldCharType="begin"/>
      </w:r>
      <w:r>
        <w:instrText xml:space="preserve"> SEQ Proposal \* ARABIC </w:instrText>
      </w:r>
      <w:r>
        <w:fldChar w:fldCharType="separate"/>
      </w:r>
      <w:r w:rsidR="009E602A">
        <w:rPr>
          <w:noProof/>
        </w:rPr>
        <w:t>4</w:t>
      </w:r>
      <w:r>
        <w:fldChar w:fldCharType="end"/>
      </w:r>
      <w:r>
        <w:t xml:space="preserve">: </w:t>
      </w:r>
      <w:r w:rsidR="002C4EAB" w:rsidRPr="002C4EAB">
        <w:t xml:space="preserve">Clarification of the differences </w:t>
      </w:r>
      <w:r w:rsidR="002C4EAB">
        <w:t>in</w:t>
      </w:r>
      <w:r w:rsidR="002C4EAB" w:rsidRPr="002C4EAB">
        <w:t xml:space="preserve"> behaviour </w:t>
      </w:r>
      <w:r w:rsidR="002C4EAB">
        <w:t>between</w:t>
      </w:r>
      <w:r w:rsidR="002C4EAB" w:rsidRPr="002C4EAB">
        <w:t xml:space="preserve"> </w:t>
      </w:r>
      <w:r w:rsidR="002C4EAB">
        <w:t xml:space="preserve">the </w:t>
      </w:r>
      <w:r w:rsidR="002C4EAB" w:rsidRPr="002C4EAB">
        <w:t>field</w:t>
      </w:r>
      <w:r w:rsidR="002C4EAB">
        <w:t xml:space="preserve"> and the current measurement methodologies is needed</w:t>
      </w:r>
      <w:r w:rsidR="002C4EAB" w:rsidRPr="002C4EAB">
        <w:t>.</w:t>
      </w:r>
      <w:bookmarkEnd w:id="18"/>
    </w:p>
    <w:p w14:paraId="382294C5" w14:textId="0EF0E4C3" w:rsidR="00674417" w:rsidRPr="002C4EAB" w:rsidRDefault="00674417" w:rsidP="00674417">
      <w:pPr>
        <w:pStyle w:val="Caption"/>
      </w:pPr>
      <w:bookmarkStart w:id="19" w:name="_Ref47111567"/>
      <w:r w:rsidRPr="002C4EAB">
        <w:t xml:space="preserve">Proposal </w:t>
      </w:r>
      <w:r w:rsidRPr="002C4EAB">
        <w:fldChar w:fldCharType="begin"/>
      </w:r>
      <w:r w:rsidRPr="002C4EAB">
        <w:instrText xml:space="preserve"> SEQ Proposal \* ARABIC </w:instrText>
      </w:r>
      <w:r w:rsidRPr="002C4EAB">
        <w:fldChar w:fldCharType="separate"/>
      </w:r>
      <w:r w:rsidR="009E602A">
        <w:rPr>
          <w:noProof/>
        </w:rPr>
        <w:t>5</w:t>
      </w:r>
      <w:r w:rsidRPr="002C4EAB">
        <w:fldChar w:fldCharType="end"/>
      </w:r>
      <w:r w:rsidRPr="002C4EAB">
        <w:t xml:space="preserve">: RAN4 to </w:t>
      </w:r>
      <w:r w:rsidR="00C67A34" w:rsidRPr="002C4EAB">
        <w:t>further consider</w:t>
      </w:r>
      <w:r w:rsidRPr="002C4EAB">
        <w:t xml:space="preserve"> the polarization scan which can reliably force the UE to simultaneously transmit on both transmit chain/antennas in order to </w:t>
      </w:r>
      <w:r w:rsidRPr="002C4EAB">
        <w:rPr>
          <w:rFonts w:eastAsia="Batang"/>
        </w:rPr>
        <w:t>minimize the impact of polarization basis mismatch between the TE and DUT.</w:t>
      </w:r>
      <w:bookmarkEnd w:id="19"/>
      <w:r w:rsidRPr="002C4EAB">
        <w:t xml:space="preserve"> </w:t>
      </w:r>
    </w:p>
    <w:p w14:paraId="1CF307D5" w14:textId="1A3F1AC4" w:rsidR="00674417" w:rsidRPr="002C4EAB" w:rsidRDefault="00140091" w:rsidP="00140091">
      <w:pPr>
        <w:pStyle w:val="Heading1"/>
        <w:ind w:left="567" w:hanging="567"/>
      </w:pPr>
      <w:r w:rsidRPr="002C4EAB">
        <w:t>T</w:t>
      </w:r>
      <w:r w:rsidR="00E61BFF" w:rsidRPr="002C4EAB">
        <w:t xml:space="preserve">est </w:t>
      </w:r>
      <w:r w:rsidRPr="002C4EAB">
        <w:t>M</w:t>
      </w:r>
      <w:r w:rsidR="00E61BFF" w:rsidRPr="002C4EAB">
        <w:t xml:space="preserve">ode to trigger TX </w:t>
      </w:r>
      <w:r w:rsidRPr="002C4EAB">
        <w:t>D</w:t>
      </w:r>
      <w:r w:rsidR="00E61BFF" w:rsidRPr="002C4EAB">
        <w:t>iversity</w:t>
      </w:r>
    </w:p>
    <w:p w14:paraId="08F5D96B" w14:textId="70B6B254" w:rsidR="00C67A34" w:rsidRPr="002C4EAB" w:rsidRDefault="00140091" w:rsidP="00674417">
      <w:r w:rsidRPr="002C4EAB">
        <w:t>A test mode that reliably enables both transmitter chains is a suitable solution to capture the diversity gain. The main advantage of this approach is that the test time would not be affected</w:t>
      </w:r>
      <w:r w:rsidR="00C67A34" w:rsidRPr="002C4EAB">
        <w:t xml:space="preserve">. </w:t>
      </w:r>
    </w:p>
    <w:p w14:paraId="5AA2A3EE" w14:textId="1C3C9051" w:rsidR="00C67A34" w:rsidRPr="002C4EAB" w:rsidRDefault="00C67A34" w:rsidP="00C67A34">
      <w:pPr>
        <w:pStyle w:val="Caption"/>
      </w:pPr>
      <w:bookmarkStart w:id="20" w:name="_Ref54290813"/>
      <w:r w:rsidRPr="002C4EAB">
        <w:t xml:space="preserve">Observation </w:t>
      </w:r>
      <w:r w:rsidRPr="002C4EAB">
        <w:fldChar w:fldCharType="begin"/>
      </w:r>
      <w:r w:rsidRPr="002C4EAB">
        <w:instrText xml:space="preserve"> SEQ Observation \* ARABIC </w:instrText>
      </w:r>
      <w:r w:rsidRPr="002C4EAB">
        <w:fldChar w:fldCharType="separate"/>
      </w:r>
      <w:r w:rsidR="009E602A">
        <w:rPr>
          <w:noProof/>
        </w:rPr>
        <w:t>7</w:t>
      </w:r>
      <w:r w:rsidRPr="002C4EAB">
        <w:fldChar w:fldCharType="end"/>
      </w:r>
      <w:r w:rsidRPr="002C4EAB">
        <w:t>: A test mode would reliably trigger both polarizations in the UL with almost no increase in test time.</w:t>
      </w:r>
      <w:bookmarkEnd w:id="20"/>
      <w:r w:rsidRPr="002C4EAB">
        <w:t xml:space="preserve"> </w:t>
      </w:r>
    </w:p>
    <w:p w14:paraId="510542EB" w14:textId="3A87BE2A" w:rsidR="00140091" w:rsidRPr="002C4EAB" w:rsidRDefault="00C67A34" w:rsidP="00674417">
      <w:r w:rsidRPr="002C4EAB">
        <w:t>On the other hand, it would require a non-standardized test mode that depending on the implementation could lead to operator errors and thus additional uncertainties</w:t>
      </w:r>
      <w:r w:rsidR="00AD294A" w:rsidRPr="002C4EAB">
        <w:t xml:space="preserve">. Additionally, the test mode </w:t>
      </w:r>
      <w:r w:rsidRPr="002C4EAB">
        <w:t xml:space="preserve">needs to be QA’ed by OEMs on a regular basis. </w:t>
      </w:r>
    </w:p>
    <w:p w14:paraId="0FD7F254" w14:textId="429B3059" w:rsidR="00C67A34" w:rsidRPr="002C4EAB" w:rsidRDefault="00C67A34" w:rsidP="00C67A34">
      <w:pPr>
        <w:pStyle w:val="Caption"/>
      </w:pPr>
      <w:bookmarkStart w:id="21" w:name="_Ref54290814"/>
      <w:r w:rsidRPr="002C4EAB">
        <w:t xml:space="preserve">Observation </w:t>
      </w:r>
      <w:r w:rsidRPr="002C4EAB">
        <w:fldChar w:fldCharType="begin"/>
      </w:r>
      <w:r w:rsidRPr="002C4EAB">
        <w:instrText xml:space="preserve"> SEQ Observation \* ARABIC </w:instrText>
      </w:r>
      <w:r w:rsidRPr="002C4EAB">
        <w:fldChar w:fldCharType="separate"/>
      </w:r>
      <w:r w:rsidR="009E602A">
        <w:rPr>
          <w:noProof/>
        </w:rPr>
        <w:t>8</w:t>
      </w:r>
      <w:r w:rsidRPr="002C4EAB">
        <w:fldChar w:fldCharType="end"/>
      </w:r>
      <w:r w:rsidRPr="002C4EAB">
        <w:t xml:space="preserve">: A test mode would require non-standardized implementations and some </w:t>
      </w:r>
      <w:r w:rsidR="00AD294A" w:rsidRPr="002C4EAB">
        <w:t xml:space="preserve">additional </w:t>
      </w:r>
      <w:r w:rsidRPr="002C4EAB">
        <w:t>overhead by OEMs</w:t>
      </w:r>
      <w:r w:rsidR="00C445F4" w:rsidRPr="002C4EAB">
        <w:t xml:space="preserve"> to support and maintain the test modes</w:t>
      </w:r>
      <w:r w:rsidRPr="002C4EAB">
        <w:t>.</w:t>
      </w:r>
      <w:bookmarkEnd w:id="21"/>
      <w:r w:rsidRPr="002C4EAB">
        <w:t xml:space="preserve"> </w:t>
      </w:r>
    </w:p>
    <w:p w14:paraId="5EF9C61F" w14:textId="68697FAE" w:rsidR="00C67A34" w:rsidRPr="002C4EAB" w:rsidRDefault="00C67A34" w:rsidP="00C67A34">
      <w:r w:rsidRPr="002C4EAB">
        <w:t xml:space="preserve">The other concern raised, i.e., </w:t>
      </w:r>
      <w:r w:rsidR="00E61BFF" w:rsidRPr="002C4EAB">
        <w:t xml:space="preserve">on </w:t>
      </w:r>
      <w:r w:rsidRPr="002C4EAB">
        <w:t xml:space="preserve">the </w:t>
      </w:r>
      <w:r w:rsidR="00E61BFF" w:rsidRPr="002C4EAB">
        <w:t>difference between test and field</w:t>
      </w:r>
      <w:r w:rsidRPr="002C4EAB">
        <w:t>, should be irrelevant as long as this methodology can reliably capture the diversity gain</w:t>
      </w:r>
      <w:r w:rsidR="00A0203B" w:rsidRPr="002C4EAB">
        <w:t>, i.e., the intent of the this SI’s topic</w:t>
      </w:r>
      <w:r w:rsidRPr="002C4EAB">
        <w:t xml:space="preserve">. </w:t>
      </w:r>
    </w:p>
    <w:p w14:paraId="2F3284B4" w14:textId="69719A66" w:rsidR="00C67A34" w:rsidRPr="002C4EAB" w:rsidRDefault="00C67A34" w:rsidP="00C67A34">
      <w:pPr>
        <w:pStyle w:val="Caption"/>
      </w:pPr>
      <w:bookmarkStart w:id="22" w:name="_Ref54290815"/>
      <w:r w:rsidRPr="002C4EAB">
        <w:lastRenderedPageBreak/>
        <w:t xml:space="preserve">Observation </w:t>
      </w:r>
      <w:r w:rsidRPr="002C4EAB">
        <w:fldChar w:fldCharType="begin"/>
      </w:r>
      <w:r w:rsidRPr="002C4EAB">
        <w:instrText xml:space="preserve"> SEQ Observation \* ARABIC </w:instrText>
      </w:r>
      <w:r w:rsidRPr="002C4EAB">
        <w:fldChar w:fldCharType="separate"/>
      </w:r>
      <w:r w:rsidR="009E602A">
        <w:rPr>
          <w:noProof/>
        </w:rPr>
        <w:t>9</w:t>
      </w:r>
      <w:r w:rsidRPr="002C4EAB">
        <w:fldChar w:fldCharType="end"/>
      </w:r>
      <w:r w:rsidRPr="002C4EAB">
        <w:t xml:space="preserve">: Whether there is a </w:t>
      </w:r>
      <w:r w:rsidR="00E61BFF" w:rsidRPr="002C4EAB">
        <w:t>difference between test and field</w:t>
      </w:r>
      <w:r w:rsidRPr="002C4EAB">
        <w:t xml:space="preserve"> with the test mode should be irrelevant as long as this methodology can reliably capture the diversity gain</w:t>
      </w:r>
      <w:bookmarkEnd w:id="22"/>
    </w:p>
    <w:p w14:paraId="7327BE3C" w14:textId="09FD4A06" w:rsidR="00C67A34" w:rsidRPr="002C4EAB" w:rsidRDefault="00C67A34" w:rsidP="00674417">
      <w:r w:rsidRPr="002C4EAB">
        <w:t xml:space="preserve">If OEMs are willing to support the efforts of such test mode, this approach is a suitable candidate and should be further considered. </w:t>
      </w:r>
    </w:p>
    <w:p w14:paraId="55303358" w14:textId="2E4FD9FA" w:rsidR="00C67A34" w:rsidRPr="002C4EAB" w:rsidRDefault="00C67A34" w:rsidP="00C67A34">
      <w:pPr>
        <w:pStyle w:val="Caption"/>
      </w:pPr>
      <w:bookmarkStart w:id="23" w:name="_Ref54290816"/>
      <w:r w:rsidRPr="002C4EAB">
        <w:t xml:space="preserve">Proposal </w:t>
      </w:r>
      <w:r w:rsidRPr="002C4EAB">
        <w:fldChar w:fldCharType="begin"/>
      </w:r>
      <w:r w:rsidRPr="002C4EAB">
        <w:instrText xml:space="preserve"> SEQ Proposal \* ARABIC </w:instrText>
      </w:r>
      <w:r w:rsidRPr="002C4EAB">
        <w:fldChar w:fldCharType="separate"/>
      </w:r>
      <w:r w:rsidR="009E602A">
        <w:rPr>
          <w:noProof/>
        </w:rPr>
        <w:t>6</w:t>
      </w:r>
      <w:r w:rsidRPr="002C4EAB">
        <w:fldChar w:fldCharType="end"/>
      </w:r>
      <w:r w:rsidRPr="002C4EAB">
        <w:t>: RAN4 to further consider</w:t>
      </w:r>
      <w:r w:rsidR="00BD6171" w:rsidRPr="002C4EAB">
        <w:t xml:space="preserve"> the test mode to trigger both polarizations in UL</w:t>
      </w:r>
      <w:r w:rsidRPr="002C4EAB">
        <w:t xml:space="preserve"> </w:t>
      </w:r>
      <w:r w:rsidR="00BD6171" w:rsidRPr="002C4EAB">
        <w:t>if OEMs are willing to support these efforts</w:t>
      </w:r>
      <w:r w:rsidRPr="002C4EAB">
        <w:rPr>
          <w:rFonts w:eastAsia="Batang"/>
        </w:rPr>
        <w:t>.</w:t>
      </w:r>
      <w:bookmarkEnd w:id="23"/>
      <w:r w:rsidRPr="002C4EAB">
        <w:t xml:space="preserve"> </w:t>
      </w:r>
    </w:p>
    <w:bookmarkEnd w:id="3"/>
    <w:p w14:paraId="35952390" w14:textId="77777777" w:rsidR="008B0529" w:rsidRPr="002C4EAB" w:rsidRDefault="0053435C" w:rsidP="0053435C">
      <w:pPr>
        <w:pStyle w:val="Heading1"/>
        <w:ind w:left="567" w:hanging="567"/>
      </w:pPr>
      <w:r w:rsidRPr="002C4EAB">
        <w:t>Conclusion</w:t>
      </w:r>
    </w:p>
    <w:p w14:paraId="35952391" w14:textId="017CB4EE" w:rsidR="008B0529" w:rsidRPr="002C4EAB" w:rsidRDefault="0053435C" w:rsidP="008B0529">
      <w:r w:rsidRPr="002C4EAB">
        <w:t>The following observations and proposals were made in this contribution</w:t>
      </w:r>
    </w:p>
    <w:p w14:paraId="78D62E7F" w14:textId="2AC96EE9" w:rsidR="004E0771" w:rsidRPr="009E602A" w:rsidRDefault="009E602A" w:rsidP="008B0529">
      <w:pPr>
        <w:rPr>
          <w:b/>
          <w:bCs/>
        </w:rPr>
      </w:pPr>
      <w:r w:rsidRPr="009E602A">
        <w:rPr>
          <w:b/>
          <w:bCs/>
        </w:rPr>
        <w:fldChar w:fldCharType="begin"/>
      </w:r>
      <w:r w:rsidRPr="009E602A">
        <w:rPr>
          <w:b/>
          <w:bCs/>
        </w:rPr>
        <w:instrText xml:space="preserve"> REF _Ref47111466 \h </w:instrText>
      </w:r>
      <w:r w:rsidRPr="009E602A">
        <w:rPr>
          <w:b/>
          <w:bCs/>
        </w:rPr>
      </w:r>
      <w:r>
        <w:rPr>
          <w:b/>
          <w:bCs/>
        </w:rPr>
        <w:instrText xml:space="preserve"> \* MERGEFORMAT </w:instrText>
      </w:r>
      <w:r w:rsidRPr="009E602A">
        <w:rPr>
          <w:b/>
          <w:bCs/>
        </w:rPr>
        <w:fldChar w:fldCharType="separate"/>
      </w:r>
      <w:r w:rsidRPr="009E602A">
        <w:rPr>
          <w:b/>
          <w:bCs/>
        </w:rPr>
        <w:t xml:space="preserve">Observation </w:t>
      </w:r>
      <w:r w:rsidRPr="009E602A">
        <w:rPr>
          <w:b/>
          <w:bCs/>
          <w:noProof/>
        </w:rPr>
        <w:t>1</w:t>
      </w:r>
      <w:r w:rsidRPr="009E602A">
        <w:rPr>
          <w:b/>
          <w:bCs/>
        </w:rPr>
        <w:t>: For coherent UEs, both Rel-15 and Rel-16 allow a TPMI to be used that forces single-layer transmission using two antenna ports.</w:t>
      </w:r>
      <w:r w:rsidRPr="009E602A">
        <w:rPr>
          <w:b/>
          <w:bCs/>
        </w:rPr>
        <w:fldChar w:fldCharType="end"/>
      </w:r>
    </w:p>
    <w:p w14:paraId="3A850944" w14:textId="0CB0BADD" w:rsidR="009E602A" w:rsidRPr="009E602A" w:rsidRDefault="009E602A" w:rsidP="008B0529">
      <w:pPr>
        <w:rPr>
          <w:b/>
          <w:bCs/>
        </w:rPr>
      </w:pPr>
      <w:r w:rsidRPr="009E602A">
        <w:rPr>
          <w:b/>
          <w:bCs/>
        </w:rPr>
        <w:fldChar w:fldCharType="begin"/>
      </w:r>
      <w:r w:rsidRPr="009E602A">
        <w:rPr>
          <w:b/>
          <w:bCs/>
        </w:rPr>
        <w:instrText xml:space="preserve"> REF _Ref47111467 \h </w:instrText>
      </w:r>
      <w:r w:rsidRPr="009E602A">
        <w:rPr>
          <w:b/>
          <w:bCs/>
        </w:rPr>
      </w:r>
      <w:r>
        <w:rPr>
          <w:b/>
          <w:bCs/>
        </w:rPr>
        <w:instrText xml:space="preserve"> \* MERGEFORMAT </w:instrText>
      </w:r>
      <w:r w:rsidRPr="009E602A">
        <w:rPr>
          <w:b/>
          <w:bCs/>
        </w:rPr>
        <w:fldChar w:fldCharType="separate"/>
      </w:r>
      <w:r w:rsidRPr="009E602A">
        <w:rPr>
          <w:b/>
          <w:bCs/>
        </w:rPr>
        <w:t xml:space="preserve">Observation </w:t>
      </w:r>
      <w:r w:rsidRPr="009E602A">
        <w:rPr>
          <w:b/>
          <w:bCs/>
          <w:noProof/>
        </w:rPr>
        <w:t>2</w:t>
      </w:r>
      <w:r w:rsidRPr="009E602A">
        <w:rPr>
          <w:b/>
          <w:bCs/>
        </w:rPr>
        <w:t>: For non-coherent UEs, Rel-15 does not allow a TPMI to be used that forces single-layer transmission using two antenna ports.</w:t>
      </w:r>
      <w:r w:rsidRPr="009E602A">
        <w:rPr>
          <w:b/>
          <w:bCs/>
        </w:rPr>
        <w:fldChar w:fldCharType="end"/>
      </w:r>
    </w:p>
    <w:p w14:paraId="3BD793B3" w14:textId="72FD5812" w:rsidR="009E602A" w:rsidRPr="009E602A" w:rsidRDefault="009E602A" w:rsidP="008B0529">
      <w:pPr>
        <w:rPr>
          <w:b/>
          <w:bCs/>
        </w:rPr>
      </w:pPr>
      <w:r w:rsidRPr="009E602A">
        <w:rPr>
          <w:b/>
          <w:bCs/>
        </w:rPr>
        <w:fldChar w:fldCharType="begin"/>
      </w:r>
      <w:r w:rsidRPr="009E602A">
        <w:rPr>
          <w:b/>
          <w:bCs/>
        </w:rPr>
        <w:instrText xml:space="preserve"> REF _Ref47111468 \h </w:instrText>
      </w:r>
      <w:r w:rsidRPr="009E602A">
        <w:rPr>
          <w:b/>
          <w:bCs/>
        </w:rPr>
      </w:r>
      <w:r>
        <w:rPr>
          <w:b/>
          <w:bCs/>
        </w:rPr>
        <w:instrText xml:space="preserve"> \* MERGEFORMAT </w:instrText>
      </w:r>
      <w:r w:rsidRPr="009E602A">
        <w:rPr>
          <w:b/>
          <w:bCs/>
        </w:rPr>
        <w:fldChar w:fldCharType="separate"/>
      </w:r>
      <w:r w:rsidRPr="009E602A">
        <w:rPr>
          <w:b/>
          <w:bCs/>
        </w:rPr>
        <w:t xml:space="preserve">Observation </w:t>
      </w:r>
      <w:r w:rsidRPr="009E602A">
        <w:rPr>
          <w:b/>
          <w:bCs/>
          <w:noProof/>
        </w:rPr>
        <w:t>3</w:t>
      </w:r>
      <w:r w:rsidRPr="009E602A">
        <w:rPr>
          <w:b/>
          <w:bCs/>
        </w:rPr>
        <w:t xml:space="preserve">: For non-coherent UEs, Rel-16 allows a TPMI to be used that forces single-layer transmission using two antenna ports with the newly introduced ul-FullPowerTransmission </w:t>
      </w:r>
      <w:r w:rsidRPr="009E602A">
        <w:rPr>
          <w:b/>
          <w:bCs/>
          <w:lang w:eastAsia="zh-CN"/>
        </w:rPr>
        <w:t>=</w:t>
      </w:r>
      <w:r w:rsidRPr="009E602A">
        <w:rPr>
          <w:b/>
          <w:bCs/>
        </w:rPr>
        <w:t xml:space="preserve"> fullpowerMode</w:t>
      </w:r>
      <w:r w:rsidRPr="009E602A">
        <w:rPr>
          <w:b/>
          <w:bCs/>
          <w:lang w:eastAsia="zh-CN"/>
        </w:rPr>
        <w:t>1 mode</w:t>
      </w:r>
      <w:r w:rsidRPr="009E602A">
        <w:rPr>
          <w:b/>
          <w:bCs/>
        </w:rPr>
        <w:t>.</w:t>
      </w:r>
      <w:r w:rsidRPr="009E602A">
        <w:rPr>
          <w:b/>
          <w:bCs/>
        </w:rPr>
        <w:fldChar w:fldCharType="end"/>
      </w:r>
    </w:p>
    <w:p w14:paraId="7123AAEF" w14:textId="7C2895AF" w:rsidR="009E602A" w:rsidRPr="009E602A" w:rsidRDefault="009E602A" w:rsidP="008B0529">
      <w:pPr>
        <w:rPr>
          <w:b/>
          <w:bCs/>
        </w:rPr>
      </w:pPr>
      <w:r w:rsidRPr="009E602A">
        <w:rPr>
          <w:b/>
          <w:bCs/>
        </w:rPr>
        <w:fldChar w:fldCharType="begin"/>
      </w:r>
      <w:r w:rsidRPr="009E602A">
        <w:rPr>
          <w:b/>
          <w:bCs/>
        </w:rPr>
        <w:instrText xml:space="preserve"> REF _Ref5025742 \h </w:instrText>
      </w:r>
      <w:r w:rsidRPr="009E602A">
        <w:rPr>
          <w:b/>
          <w:bCs/>
        </w:rPr>
      </w:r>
      <w:r>
        <w:rPr>
          <w:b/>
          <w:bCs/>
        </w:rPr>
        <w:instrText xml:space="preserve"> \* MERGEFORMAT </w:instrText>
      </w:r>
      <w:r w:rsidRPr="009E602A">
        <w:rPr>
          <w:b/>
          <w:bCs/>
        </w:rPr>
        <w:fldChar w:fldCharType="separate"/>
      </w:r>
      <w:r w:rsidRPr="009E602A">
        <w:rPr>
          <w:b/>
          <w:bCs/>
        </w:rPr>
        <w:t xml:space="preserve">Observation </w:t>
      </w:r>
      <w:r w:rsidRPr="009E602A">
        <w:rPr>
          <w:b/>
          <w:bCs/>
          <w:noProof/>
        </w:rPr>
        <w:t xml:space="preserve">4 : A polarization scan with </w:t>
      </w:r>
      <w:r w:rsidRPr="009E602A">
        <w:rPr>
          <w:b/>
          <w:bCs/>
          <w:i/>
          <w:noProof/>
        </w:rPr>
        <w:t>N</w:t>
      </w:r>
      <w:r w:rsidRPr="009E602A">
        <w:rPr>
          <w:b/>
          <w:bCs/>
          <w:noProof/>
        </w:rPr>
        <w:t xml:space="preserve"> different scans requires the EIRP based test times to increase approximately by a factor or </w:t>
      </w:r>
      <w:r w:rsidRPr="009E602A">
        <w:rPr>
          <w:b/>
          <w:bCs/>
          <w:i/>
          <w:noProof/>
        </w:rPr>
        <w:t>N</w:t>
      </w:r>
      <w:r w:rsidRPr="009E602A">
        <w:rPr>
          <w:b/>
          <w:bCs/>
        </w:rPr>
        <w:fldChar w:fldCharType="end"/>
      </w:r>
    </w:p>
    <w:p w14:paraId="4024F858" w14:textId="3C035130" w:rsidR="009E602A" w:rsidRPr="009E602A" w:rsidRDefault="009E602A" w:rsidP="008B0529">
      <w:pPr>
        <w:rPr>
          <w:b/>
          <w:bCs/>
        </w:rPr>
      </w:pPr>
      <w:r w:rsidRPr="009E602A">
        <w:rPr>
          <w:b/>
          <w:bCs/>
        </w:rPr>
        <w:fldChar w:fldCharType="begin"/>
      </w:r>
      <w:r w:rsidRPr="009E602A">
        <w:rPr>
          <w:b/>
          <w:bCs/>
        </w:rPr>
        <w:instrText xml:space="preserve"> REF _Ref5026079 \h </w:instrText>
      </w:r>
      <w:r w:rsidRPr="009E602A">
        <w:rPr>
          <w:b/>
          <w:bCs/>
        </w:rPr>
      </w:r>
      <w:r>
        <w:rPr>
          <w:b/>
          <w:bCs/>
        </w:rPr>
        <w:instrText xml:space="preserve"> \* MERGEFORMAT </w:instrText>
      </w:r>
      <w:r w:rsidRPr="009E602A">
        <w:rPr>
          <w:b/>
          <w:bCs/>
        </w:rPr>
        <w:fldChar w:fldCharType="separate"/>
      </w:r>
      <w:r w:rsidRPr="009E602A">
        <w:rPr>
          <w:b/>
          <w:bCs/>
        </w:rPr>
        <w:t xml:space="preserve">Observation </w:t>
      </w:r>
      <w:r w:rsidRPr="009E602A">
        <w:rPr>
          <w:b/>
          <w:bCs/>
          <w:noProof/>
        </w:rPr>
        <w:t>5</w:t>
      </w:r>
      <w:r w:rsidRPr="009E602A">
        <w:rPr>
          <w:b/>
          <w:bCs/>
        </w:rPr>
        <w:t>: The polarization scan with linear polarizations can capture the TX diversity gain when the single DL polarization triggers both UE polarizations transmitted in UL</w:t>
      </w:r>
      <w:r w:rsidRPr="009E602A">
        <w:rPr>
          <w:b/>
          <w:bCs/>
        </w:rPr>
        <w:fldChar w:fldCharType="end"/>
      </w:r>
    </w:p>
    <w:p w14:paraId="3094D7DD" w14:textId="664E6697" w:rsidR="009E602A" w:rsidRPr="009E602A" w:rsidRDefault="009E602A" w:rsidP="008B0529">
      <w:pPr>
        <w:rPr>
          <w:b/>
          <w:bCs/>
        </w:rPr>
      </w:pPr>
      <w:r w:rsidRPr="009E602A">
        <w:rPr>
          <w:b/>
          <w:bCs/>
        </w:rPr>
        <w:fldChar w:fldCharType="begin"/>
      </w:r>
      <w:r w:rsidRPr="009E602A">
        <w:rPr>
          <w:b/>
          <w:bCs/>
        </w:rPr>
        <w:instrText xml:space="preserve"> REF _Ref54350081 \h </w:instrText>
      </w:r>
      <w:r w:rsidRPr="009E602A">
        <w:rPr>
          <w:b/>
          <w:bCs/>
        </w:rPr>
      </w:r>
      <w:r>
        <w:rPr>
          <w:b/>
          <w:bCs/>
        </w:rPr>
        <w:instrText xml:space="preserve"> \* MERGEFORMAT </w:instrText>
      </w:r>
      <w:r w:rsidRPr="009E602A">
        <w:rPr>
          <w:b/>
          <w:bCs/>
        </w:rPr>
        <w:fldChar w:fldCharType="separate"/>
      </w:r>
      <w:r w:rsidRPr="009E602A">
        <w:rPr>
          <w:b/>
          <w:bCs/>
        </w:rPr>
        <w:t xml:space="preserve">Observation </w:t>
      </w:r>
      <w:r w:rsidRPr="009E602A">
        <w:rPr>
          <w:b/>
          <w:bCs/>
          <w:noProof/>
        </w:rPr>
        <w:t>6</w:t>
      </w:r>
      <w:r w:rsidRPr="009E602A">
        <w:rPr>
          <w:b/>
          <w:bCs/>
        </w:rPr>
        <w:t>: Whether there is a difference between test and field with the polarization scan should be irrelevant as long as this methodology can reliably capture the diversity gain.</w:t>
      </w:r>
      <w:r w:rsidRPr="009E602A">
        <w:rPr>
          <w:b/>
          <w:bCs/>
        </w:rPr>
        <w:fldChar w:fldCharType="end"/>
      </w:r>
    </w:p>
    <w:p w14:paraId="71589776" w14:textId="68C2ABFC" w:rsidR="009E602A" w:rsidRPr="009E602A" w:rsidRDefault="009E602A" w:rsidP="008B0529">
      <w:pPr>
        <w:rPr>
          <w:b/>
          <w:bCs/>
        </w:rPr>
      </w:pPr>
      <w:r w:rsidRPr="009E602A">
        <w:rPr>
          <w:b/>
          <w:bCs/>
        </w:rPr>
        <w:fldChar w:fldCharType="begin"/>
      </w:r>
      <w:r w:rsidRPr="009E602A">
        <w:rPr>
          <w:b/>
          <w:bCs/>
        </w:rPr>
        <w:instrText xml:space="preserve"> REF _Ref54290813 \h </w:instrText>
      </w:r>
      <w:r w:rsidRPr="009E602A">
        <w:rPr>
          <w:b/>
          <w:bCs/>
        </w:rPr>
      </w:r>
      <w:r>
        <w:rPr>
          <w:b/>
          <w:bCs/>
        </w:rPr>
        <w:instrText xml:space="preserve"> \* MERGEFORMAT </w:instrText>
      </w:r>
      <w:r w:rsidRPr="009E602A">
        <w:rPr>
          <w:b/>
          <w:bCs/>
        </w:rPr>
        <w:fldChar w:fldCharType="separate"/>
      </w:r>
      <w:r w:rsidRPr="009E602A">
        <w:rPr>
          <w:b/>
          <w:bCs/>
        </w:rPr>
        <w:t xml:space="preserve">Observation </w:t>
      </w:r>
      <w:r w:rsidRPr="009E602A">
        <w:rPr>
          <w:b/>
          <w:bCs/>
          <w:noProof/>
        </w:rPr>
        <w:t>7</w:t>
      </w:r>
      <w:r w:rsidRPr="009E602A">
        <w:rPr>
          <w:b/>
          <w:bCs/>
        </w:rPr>
        <w:t>: A test mode would reliably trigger both polarizations in the UL with almost no increase in test time.</w:t>
      </w:r>
      <w:r w:rsidRPr="009E602A">
        <w:rPr>
          <w:b/>
          <w:bCs/>
        </w:rPr>
        <w:fldChar w:fldCharType="end"/>
      </w:r>
    </w:p>
    <w:p w14:paraId="0794E969" w14:textId="0F4CC96D" w:rsidR="009E602A" w:rsidRPr="009E602A" w:rsidRDefault="009E602A" w:rsidP="008B0529">
      <w:pPr>
        <w:rPr>
          <w:b/>
          <w:bCs/>
        </w:rPr>
      </w:pPr>
      <w:r w:rsidRPr="009E602A">
        <w:rPr>
          <w:b/>
          <w:bCs/>
        </w:rPr>
        <w:fldChar w:fldCharType="begin"/>
      </w:r>
      <w:r w:rsidRPr="009E602A">
        <w:rPr>
          <w:b/>
          <w:bCs/>
        </w:rPr>
        <w:instrText xml:space="preserve"> REF _Ref54290814 \h </w:instrText>
      </w:r>
      <w:r w:rsidRPr="009E602A">
        <w:rPr>
          <w:b/>
          <w:bCs/>
        </w:rPr>
      </w:r>
      <w:r>
        <w:rPr>
          <w:b/>
          <w:bCs/>
        </w:rPr>
        <w:instrText xml:space="preserve"> \* MERGEFORMAT </w:instrText>
      </w:r>
      <w:r w:rsidRPr="009E602A">
        <w:rPr>
          <w:b/>
          <w:bCs/>
        </w:rPr>
        <w:fldChar w:fldCharType="separate"/>
      </w:r>
      <w:r w:rsidRPr="009E602A">
        <w:rPr>
          <w:b/>
          <w:bCs/>
        </w:rPr>
        <w:t xml:space="preserve">Observation </w:t>
      </w:r>
      <w:r w:rsidRPr="009E602A">
        <w:rPr>
          <w:b/>
          <w:bCs/>
          <w:noProof/>
        </w:rPr>
        <w:t>8</w:t>
      </w:r>
      <w:r w:rsidRPr="009E602A">
        <w:rPr>
          <w:b/>
          <w:bCs/>
        </w:rPr>
        <w:t>: A test mode would require non-standardized implementations and some additional overhead by OEMs to support and maintain the test modes.</w:t>
      </w:r>
      <w:r w:rsidRPr="009E602A">
        <w:rPr>
          <w:b/>
          <w:bCs/>
        </w:rPr>
        <w:fldChar w:fldCharType="end"/>
      </w:r>
    </w:p>
    <w:p w14:paraId="030F56E8" w14:textId="0FD81D23" w:rsidR="009E602A" w:rsidRPr="009E602A" w:rsidRDefault="009E602A" w:rsidP="008B0529">
      <w:pPr>
        <w:rPr>
          <w:b/>
          <w:bCs/>
        </w:rPr>
      </w:pPr>
      <w:r w:rsidRPr="009E602A">
        <w:rPr>
          <w:b/>
          <w:bCs/>
        </w:rPr>
        <w:fldChar w:fldCharType="begin"/>
      </w:r>
      <w:r w:rsidRPr="009E602A">
        <w:rPr>
          <w:b/>
          <w:bCs/>
        </w:rPr>
        <w:instrText xml:space="preserve"> REF _Ref54290815 \h </w:instrText>
      </w:r>
      <w:r w:rsidRPr="009E602A">
        <w:rPr>
          <w:b/>
          <w:bCs/>
        </w:rPr>
      </w:r>
      <w:r>
        <w:rPr>
          <w:b/>
          <w:bCs/>
        </w:rPr>
        <w:instrText xml:space="preserve"> \* MERGEFORMAT </w:instrText>
      </w:r>
      <w:r w:rsidRPr="009E602A">
        <w:rPr>
          <w:b/>
          <w:bCs/>
        </w:rPr>
        <w:fldChar w:fldCharType="separate"/>
      </w:r>
      <w:r w:rsidRPr="009E602A">
        <w:rPr>
          <w:b/>
          <w:bCs/>
        </w:rPr>
        <w:t xml:space="preserve">Observation </w:t>
      </w:r>
      <w:r w:rsidRPr="009E602A">
        <w:rPr>
          <w:b/>
          <w:bCs/>
          <w:noProof/>
        </w:rPr>
        <w:t>9</w:t>
      </w:r>
      <w:r w:rsidRPr="009E602A">
        <w:rPr>
          <w:b/>
          <w:bCs/>
        </w:rPr>
        <w:t>: Whether there is a difference between test and field with the test mode should be irrelevant as long as this methodology can reliably capture the diversity gain</w:t>
      </w:r>
      <w:r w:rsidRPr="009E602A">
        <w:rPr>
          <w:b/>
          <w:bCs/>
        </w:rPr>
        <w:fldChar w:fldCharType="end"/>
      </w:r>
    </w:p>
    <w:p w14:paraId="332095E5" w14:textId="70E28694" w:rsidR="009E602A" w:rsidRPr="009E602A" w:rsidRDefault="009E602A" w:rsidP="008B0529">
      <w:pPr>
        <w:rPr>
          <w:b/>
          <w:bCs/>
        </w:rPr>
      </w:pPr>
      <w:r w:rsidRPr="009E602A">
        <w:rPr>
          <w:b/>
          <w:bCs/>
        </w:rPr>
        <w:fldChar w:fldCharType="begin"/>
      </w:r>
      <w:r w:rsidRPr="009E602A">
        <w:rPr>
          <w:b/>
          <w:bCs/>
        </w:rPr>
        <w:instrText xml:space="preserve"> REF _Ref47111469 \h </w:instrText>
      </w:r>
      <w:r w:rsidRPr="009E602A">
        <w:rPr>
          <w:b/>
          <w:bCs/>
        </w:rPr>
      </w:r>
      <w:r>
        <w:rPr>
          <w:b/>
          <w:bCs/>
        </w:rPr>
        <w:instrText xml:space="preserve"> \* MERGEFORMAT </w:instrText>
      </w:r>
      <w:r w:rsidRPr="009E602A">
        <w:rPr>
          <w:b/>
          <w:bCs/>
        </w:rPr>
        <w:fldChar w:fldCharType="separate"/>
      </w:r>
      <w:r w:rsidRPr="009E602A">
        <w:rPr>
          <w:b/>
          <w:bCs/>
        </w:rPr>
        <w:t xml:space="preserve">Proposal </w:t>
      </w:r>
      <w:r w:rsidRPr="009E602A">
        <w:rPr>
          <w:b/>
          <w:bCs/>
          <w:noProof/>
        </w:rPr>
        <w:t>1</w:t>
      </w:r>
      <w:r w:rsidRPr="009E602A">
        <w:rPr>
          <w:b/>
          <w:bCs/>
        </w:rPr>
        <w:t>: Clarification is needed whether RAN1’s definition of TPMI indices 2-5 forcing single-layer transmission using two antenna ports corresponds to the UE enabling two transmit chains at all times</w:t>
      </w:r>
      <w:r w:rsidRPr="009E602A">
        <w:rPr>
          <w:b/>
          <w:bCs/>
        </w:rPr>
        <w:fldChar w:fldCharType="end"/>
      </w:r>
    </w:p>
    <w:p w14:paraId="404FFEA0" w14:textId="3D51C4D1" w:rsidR="009E602A" w:rsidRPr="009E602A" w:rsidRDefault="009E602A" w:rsidP="008B0529">
      <w:pPr>
        <w:rPr>
          <w:b/>
          <w:bCs/>
        </w:rPr>
      </w:pPr>
      <w:r w:rsidRPr="009E602A">
        <w:rPr>
          <w:b/>
          <w:bCs/>
        </w:rPr>
        <w:fldChar w:fldCharType="begin"/>
      </w:r>
      <w:r w:rsidRPr="009E602A">
        <w:rPr>
          <w:b/>
          <w:bCs/>
        </w:rPr>
        <w:instrText xml:space="preserve"> REF _Ref54291420 \h </w:instrText>
      </w:r>
      <w:r w:rsidRPr="009E602A">
        <w:rPr>
          <w:b/>
          <w:bCs/>
        </w:rPr>
      </w:r>
      <w:r>
        <w:rPr>
          <w:b/>
          <w:bCs/>
        </w:rPr>
        <w:instrText xml:space="preserve"> \* MERGEFORMAT </w:instrText>
      </w:r>
      <w:r w:rsidRPr="009E602A">
        <w:rPr>
          <w:b/>
          <w:bCs/>
        </w:rPr>
        <w:fldChar w:fldCharType="separate"/>
      </w:r>
      <w:r w:rsidRPr="009E602A">
        <w:rPr>
          <w:b/>
          <w:bCs/>
        </w:rPr>
        <w:t xml:space="preserve">Proposal </w:t>
      </w:r>
      <w:r w:rsidRPr="009E602A">
        <w:rPr>
          <w:b/>
          <w:bCs/>
          <w:noProof/>
        </w:rPr>
        <w:t>2</w:t>
      </w:r>
      <w:r w:rsidRPr="009E602A">
        <w:rPr>
          <w:b/>
          <w:bCs/>
        </w:rPr>
        <w:t>: Given the limited applicability of the TPMI approach and the uncertainty whether transmission using two antenna ports corresponds to enabling both transmit chains, it is proposed to focus on the alternative approaches instead.</w:t>
      </w:r>
      <w:r w:rsidRPr="009E602A">
        <w:rPr>
          <w:b/>
          <w:bCs/>
        </w:rPr>
        <w:fldChar w:fldCharType="end"/>
      </w:r>
    </w:p>
    <w:p w14:paraId="0EBB5CD1" w14:textId="04F852E2" w:rsidR="009E602A" w:rsidRPr="009E602A" w:rsidRDefault="009E602A" w:rsidP="008B0529">
      <w:pPr>
        <w:rPr>
          <w:b/>
          <w:bCs/>
        </w:rPr>
      </w:pPr>
      <w:r w:rsidRPr="009E602A">
        <w:rPr>
          <w:b/>
          <w:bCs/>
        </w:rPr>
        <w:fldChar w:fldCharType="begin"/>
      </w:r>
      <w:r w:rsidRPr="009E602A">
        <w:rPr>
          <w:b/>
          <w:bCs/>
        </w:rPr>
        <w:instrText xml:space="preserve"> REF _Ref20919928 \h </w:instrText>
      </w:r>
      <w:r w:rsidRPr="009E602A">
        <w:rPr>
          <w:b/>
          <w:bCs/>
        </w:rPr>
      </w:r>
      <w:r>
        <w:rPr>
          <w:b/>
          <w:bCs/>
        </w:rPr>
        <w:instrText xml:space="preserve"> \* MERGEFORMAT </w:instrText>
      </w:r>
      <w:r w:rsidRPr="009E602A">
        <w:rPr>
          <w:b/>
          <w:bCs/>
        </w:rPr>
        <w:fldChar w:fldCharType="separate"/>
      </w:r>
      <w:r w:rsidRPr="009E602A">
        <w:rPr>
          <w:b/>
          <w:bCs/>
        </w:rPr>
        <w:t xml:space="preserve">Proposal </w:t>
      </w:r>
      <w:r w:rsidRPr="009E602A">
        <w:rPr>
          <w:b/>
          <w:bCs/>
          <w:noProof/>
        </w:rPr>
        <w:t>3</w:t>
      </w:r>
      <w:r w:rsidRPr="009E602A">
        <w:rPr>
          <w:b/>
          <w:bCs/>
        </w:rPr>
        <w:t>: OEMs to provide feedback on the minimum number of required polarization scans to guarantee the diversity gain to be captured reliably.</w:t>
      </w:r>
      <w:r w:rsidRPr="009E602A">
        <w:rPr>
          <w:b/>
          <w:bCs/>
        </w:rPr>
        <w:fldChar w:fldCharType="end"/>
      </w:r>
    </w:p>
    <w:p w14:paraId="66FF30FB" w14:textId="45904A1E" w:rsidR="009E602A" w:rsidRPr="009E602A" w:rsidRDefault="009E602A" w:rsidP="008B0529">
      <w:pPr>
        <w:rPr>
          <w:b/>
          <w:bCs/>
        </w:rPr>
      </w:pPr>
      <w:r w:rsidRPr="009E602A">
        <w:rPr>
          <w:b/>
          <w:bCs/>
        </w:rPr>
        <w:fldChar w:fldCharType="begin"/>
      </w:r>
      <w:r w:rsidRPr="009E602A">
        <w:rPr>
          <w:b/>
          <w:bCs/>
        </w:rPr>
        <w:instrText xml:space="preserve"> REF _Ref54350082 \h </w:instrText>
      </w:r>
      <w:r w:rsidRPr="009E602A">
        <w:rPr>
          <w:b/>
          <w:bCs/>
        </w:rPr>
      </w:r>
      <w:r>
        <w:rPr>
          <w:b/>
          <w:bCs/>
        </w:rPr>
        <w:instrText xml:space="preserve"> \* MERGEFORMAT </w:instrText>
      </w:r>
      <w:r w:rsidRPr="009E602A">
        <w:rPr>
          <w:b/>
          <w:bCs/>
        </w:rPr>
        <w:fldChar w:fldCharType="separate"/>
      </w:r>
      <w:r w:rsidRPr="009E602A">
        <w:rPr>
          <w:b/>
          <w:bCs/>
        </w:rPr>
        <w:t xml:space="preserve">Proposal </w:t>
      </w:r>
      <w:r w:rsidRPr="009E602A">
        <w:rPr>
          <w:b/>
          <w:bCs/>
          <w:noProof/>
        </w:rPr>
        <w:t>4</w:t>
      </w:r>
      <w:r w:rsidRPr="009E602A">
        <w:rPr>
          <w:b/>
          <w:bCs/>
        </w:rPr>
        <w:t>: Clarification of the differences in behaviour between the field and the current measurement methodologies is needed</w:t>
      </w:r>
      <w:r w:rsidRPr="009E602A">
        <w:rPr>
          <w:b/>
          <w:bCs/>
        </w:rPr>
        <w:t>.</w:t>
      </w:r>
      <w:r w:rsidRPr="009E602A">
        <w:rPr>
          <w:b/>
          <w:bCs/>
        </w:rPr>
        <w:fldChar w:fldCharType="end"/>
      </w:r>
    </w:p>
    <w:p w14:paraId="1317209F" w14:textId="4B784C92" w:rsidR="009E602A" w:rsidRPr="009E602A" w:rsidRDefault="009E602A" w:rsidP="008B0529">
      <w:pPr>
        <w:rPr>
          <w:b/>
          <w:bCs/>
        </w:rPr>
      </w:pPr>
      <w:r w:rsidRPr="009E602A">
        <w:rPr>
          <w:b/>
          <w:bCs/>
        </w:rPr>
        <w:fldChar w:fldCharType="begin"/>
      </w:r>
      <w:r w:rsidRPr="009E602A">
        <w:rPr>
          <w:b/>
          <w:bCs/>
        </w:rPr>
        <w:instrText xml:space="preserve"> REF _Ref47111567 \h </w:instrText>
      </w:r>
      <w:r w:rsidRPr="009E602A">
        <w:rPr>
          <w:b/>
          <w:bCs/>
        </w:rPr>
      </w:r>
      <w:r>
        <w:rPr>
          <w:b/>
          <w:bCs/>
        </w:rPr>
        <w:instrText xml:space="preserve"> \* MERGEFORMAT </w:instrText>
      </w:r>
      <w:r w:rsidRPr="009E602A">
        <w:rPr>
          <w:b/>
          <w:bCs/>
        </w:rPr>
        <w:fldChar w:fldCharType="separate"/>
      </w:r>
      <w:r w:rsidRPr="009E602A">
        <w:rPr>
          <w:b/>
          <w:bCs/>
        </w:rPr>
        <w:t xml:space="preserve">Proposal </w:t>
      </w:r>
      <w:r w:rsidRPr="009E602A">
        <w:rPr>
          <w:b/>
          <w:bCs/>
          <w:noProof/>
        </w:rPr>
        <w:t>5</w:t>
      </w:r>
      <w:r w:rsidRPr="009E602A">
        <w:rPr>
          <w:b/>
          <w:bCs/>
        </w:rPr>
        <w:t xml:space="preserve">: RAN4 to further consider the polarization scan which can reliably force the UE to simultaneously transmit on both transmit chain/antennas in order to </w:t>
      </w:r>
      <w:r w:rsidRPr="009E602A">
        <w:rPr>
          <w:rFonts w:eastAsia="Batang"/>
          <w:b/>
          <w:bCs/>
        </w:rPr>
        <w:t>minimize the impact of polarization basis mismatch between the TE and DUT.</w:t>
      </w:r>
      <w:r w:rsidRPr="009E602A">
        <w:rPr>
          <w:b/>
          <w:bCs/>
        </w:rPr>
        <w:fldChar w:fldCharType="end"/>
      </w:r>
    </w:p>
    <w:p w14:paraId="4418EB7D" w14:textId="611E578D" w:rsidR="009E602A" w:rsidRPr="009E602A" w:rsidRDefault="009E602A" w:rsidP="008B0529">
      <w:pPr>
        <w:rPr>
          <w:b/>
          <w:bCs/>
        </w:rPr>
      </w:pPr>
      <w:r w:rsidRPr="009E602A">
        <w:rPr>
          <w:b/>
          <w:bCs/>
        </w:rPr>
        <w:fldChar w:fldCharType="begin"/>
      </w:r>
      <w:r w:rsidRPr="009E602A">
        <w:rPr>
          <w:b/>
          <w:bCs/>
        </w:rPr>
        <w:instrText xml:space="preserve"> REF _Ref54290816 \h </w:instrText>
      </w:r>
      <w:r w:rsidRPr="009E602A">
        <w:rPr>
          <w:b/>
          <w:bCs/>
        </w:rPr>
      </w:r>
      <w:r>
        <w:rPr>
          <w:b/>
          <w:bCs/>
        </w:rPr>
        <w:instrText xml:space="preserve"> \* MERGEFORMAT </w:instrText>
      </w:r>
      <w:r w:rsidRPr="009E602A">
        <w:rPr>
          <w:b/>
          <w:bCs/>
        </w:rPr>
        <w:fldChar w:fldCharType="separate"/>
      </w:r>
      <w:r w:rsidRPr="009E602A">
        <w:rPr>
          <w:b/>
          <w:bCs/>
        </w:rPr>
        <w:t xml:space="preserve">Proposal </w:t>
      </w:r>
      <w:r w:rsidRPr="009E602A">
        <w:rPr>
          <w:b/>
          <w:bCs/>
          <w:noProof/>
        </w:rPr>
        <w:t>6</w:t>
      </w:r>
      <w:r w:rsidRPr="009E602A">
        <w:rPr>
          <w:b/>
          <w:bCs/>
        </w:rPr>
        <w:t>: RAN4 to further consider the test mode to trigger both polarizations in UL if OEMs are willing to support these efforts</w:t>
      </w:r>
      <w:r w:rsidRPr="009E602A">
        <w:rPr>
          <w:rFonts w:eastAsia="Batang"/>
          <w:b/>
          <w:bCs/>
        </w:rPr>
        <w:t>.</w:t>
      </w:r>
      <w:r w:rsidRPr="009E602A">
        <w:rPr>
          <w:b/>
          <w:bCs/>
        </w:rPr>
        <w:fldChar w:fldCharType="end"/>
      </w:r>
    </w:p>
    <w:p w14:paraId="35952392" w14:textId="77777777" w:rsidR="00DD1C07" w:rsidRPr="002C4EAB" w:rsidRDefault="00DD1C07" w:rsidP="00DD1C07">
      <w:pPr>
        <w:pStyle w:val="Heading1"/>
        <w:ind w:left="567" w:hanging="567"/>
      </w:pPr>
      <w:bookmarkStart w:id="24" w:name="_GoBack"/>
      <w:bookmarkEnd w:id="24"/>
      <w:r w:rsidRPr="002C4EAB">
        <w:lastRenderedPageBreak/>
        <w:t>References</w:t>
      </w:r>
    </w:p>
    <w:p w14:paraId="60537547" w14:textId="4EA23FF9" w:rsidR="009A4E46" w:rsidRPr="002C4EAB" w:rsidRDefault="009A4E46" w:rsidP="009A4E46">
      <w:pPr>
        <w:pStyle w:val="ListParagraph"/>
        <w:numPr>
          <w:ilvl w:val="0"/>
          <w:numId w:val="5"/>
        </w:numPr>
        <w:spacing w:after="0" w:line="240" w:lineRule="auto"/>
        <w:rPr>
          <w:rFonts w:eastAsia="Malgun Gothic"/>
          <w:lang w:val="en-GB"/>
        </w:rPr>
      </w:pPr>
      <w:bookmarkStart w:id="25" w:name="_Ref20406919"/>
      <w:r w:rsidRPr="002C4EAB">
        <w:rPr>
          <w:rFonts w:eastAsia="Malgun Gothic"/>
          <w:lang w:val="en-GB"/>
        </w:rPr>
        <w:t>RP-192322, New SID: Study on enhanced test methods for FR2, Apple Inc., CAICT, 3GPP TSG-RAN Meeting #85, September 2019</w:t>
      </w:r>
      <w:bookmarkEnd w:id="25"/>
    </w:p>
    <w:p w14:paraId="31AFC682" w14:textId="4F02B4CD" w:rsidR="00D834FD" w:rsidRPr="002C4EAB" w:rsidRDefault="00D834FD" w:rsidP="00D834FD">
      <w:pPr>
        <w:pStyle w:val="ListParagraph"/>
        <w:numPr>
          <w:ilvl w:val="0"/>
          <w:numId w:val="5"/>
        </w:numPr>
        <w:rPr>
          <w:rFonts w:eastAsia="Malgun Gothic"/>
          <w:lang w:val="en-GB"/>
        </w:rPr>
      </w:pPr>
      <w:bookmarkStart w:id="26" w:name="_Ref47108669"/>
      <w:r w:rsidRPr="002C4EAB">
        <w:rPr>
          <w:rFonts w:eastAsia="Malgun Gothic"/>
          <w:lang w:val="en-GB"/>
        </w:rPr>
        <w:t>R4-1913674, FR2 SISO enhancement for polarization mismatch, MediaTek Inc., 3GPP RAN TSG RAN4 Meeting #93, November 2019</w:t>
      </w:r>
      <w:bookmarkEnd w:id="26"/>
    </w:p>
    <w:p w14:paraId="0239082F" w14:textId="488132A6" w:rsidR="00D834FD" w:rsidRPr="002C4EAB" w:rsidRDefault="00D834FD" w:rsidP="00D834FD">
      <w:pPr>
        <w:pStyle w:val="ListParagraph"/>
        <w:numPr>
          <w:ilvl w:val="0"/>
          <w:numId w:val="5"/>
        </w:numPr>
        <w:rPr>
          <w:rFonts w:eastAsia="Malgun Gothic"/>
          <w:lang w:val="en-GB"/>
        </w:rPr>
      </w:pPr>
      <w:bookmarkStart w:id="27" w:name="_Ref47108671"/>
      <w:r w:rsidRPr="002C4EAB">
        <w:rPr>
          <w:rFonts w:eastAsia="Malgun Gothic"/>
          <w:lang w:val="en-GB"/>
        </w:rPr>
        <w:t>R4-1915082, On Minimizing Impact of Polarization Basis Mismatch, Keysight Technologies, 3GPP RAN TSG RAN4 Meeting #93, November 2019</w:t>
      </w:r>
      <w:bookmarkEnd w:id="27"/>
    </w:p>
    <w:p w14:paraId="1F80F17C" w14:textId="35CD07E7" w:rsidR="008341D0" w:rsidRPr="002C4EAB" w:rsidRDefault="008341D0" w:rsidP="00D834FD">
      <w:pPr>
        <w:pStyle w:val="ListParagraph"/>
        <w:numPr>
          <w:ilvl w:val="0"/>
          <w:numId w:val="5"/>
        </w:numPr>
        <w:rPr>
          <w:rFonts w:eastAsia="Malgun Gothic"/>
          <w:lang w:val="en-GB"/>
        </w:rPr>
      </w:pPr>
      <w:bookmarkStart w:id="28" w:name="_Ref54273223"/>
      <w:r w:rsidRPr="002C4EAB">
        <w:rPr>
          <w:rFonts w:eastAsia="Malgun Gothic"/>
          <w:lang w:val="en-GB"/>
        </w:rPr>
        <w:t>R4-2012714, WF on the polarization mismatch objective, Samsung, 3GPP TSG-RAN WG4 Meeting #96-e, August 2020</w:t>
      </w:r>
      <w:bookmarkEnd w:id="28"/>
    </w:p>
    <w:p w14:paraId="5C265EEC" w14:textId="77777777" w:rsidR="008341D0" w:rsidRPr="002C4EAB" w:rsidRDefault="008341D0" w:rsidP="008341D0">
      <w:pPr>
        <w:pStyle w:val="ListParagraph"/>
        <w:numPr>
          <w:ilvl w:val="0"/>
          <w:numId w:val="5"/>
        </w:numPr>
        <w:spacing w:after="0" w:line="240" w:lineRule="auto"/>
        <w:rPr>
          <w:rFonts w:eastAsia="Malgun Gothic"/>
          <w:lang w:val="en-GB"/>
        </w:rPr>
      </w:pPr>
      <w:bookmarkStart w:id="29" w:name="_Ref54273331"/>
      <w:r w:rsidRPr="002C4EAB">
        <w:rPr>
          <w:rFonts w:eastAsia="Malgun Gothic"/>
          <w:lang w:val="en-GB"/>
        </w:rPr>
        <w:t>R4-2011217, On minimizing the impact of polarization basis mismatch between the TE and DUT on the RF testing, Keysight Technologies, 3GPP TSG-RAN WG4 Meeting # 96-e, August 2020</w:t>
      </w:r>
      <w:bookmarkEnd w:id="29"/>
    </w:p>
    <w:p w14:paraId="33847258" w14:textId="55682623" w:rsidR="00D834FD" w:rsidRPr="002C4EAB" w:rsidRDefault="006E26EF" w:rsidP="00D834FD">
      <w:pPr>
        <w:pStyle w:val="ListParagraph"/>
        <w:numPr>
          <w:ilvl w:val="0"/>
          <w:numId w:val="5"/>
        </w:numPr>
        <w:rPr>
          <w:rFonts w:eastAsia="Malgun Gothic"/>
          <w:lang w:val="en-GB"/>
        </w:rPr>
      </w:pPr>
      <w:bookmarkStart w:id="30" w:name="_Ref47108869"/>
      <w:r w:rsidRPr="002C4EAB">
        <w:rPr>
          <w:rFonts w:eastAsia="Malgun Gothic"/>
          <w:lang w:val="en-GB"/>
        </w:rPr>
        <w:t>R4-2009959</w:t>
      </w:r>
      <w:r w:rsidR="00D834FD" w:rsidRPr="002C4EAB">
        <w:rPr>
          <w:rFonts w:eastAsia="Malgun Gothic"/>
          <w:lang w:val="en-GB"/>
        </w:rPr>
        <w:t>, FR2 test method enhancement informal email discussion summary, Apple, 3GPP RAN TSG RAN4 Meeting #96-e, August 2020</w:t>
      </w:r>
      <w:bookmarkEnd w:id="30"/>
    </w:p>
    <w:p w14:paraId="71EDE2D4" w14:textId="4FE48E67" w:rsidR="00D834FD" w:rsidRPr="002C4EAB" w:rsidRDefault="00D834FD">
      <w:pPr>
        <w:pStyle w:val="ListParagraph"/>
        <w:numPr>
          <w:ilvl w:val="0"/>
          <w:numId w:val="5"/>
        </w:numPr>
        <w:rPr>
          <w:rFonts w:eastAsia="Malgun Gothic"/>
          <w:lang w:val="en-GB"/>
        </w:rPr>
      </w:pPr>
      <w:bookmarkStart w:id="31" w:name="_Ref47109491"/>
      <w:r w:rsidRPr="002C4EAB">
        <w:rPr>
          <w:rFonts w:eastAsia="Malgun Gothic"/>
          <w:lang w:val="en-GB"/>
        </w:rPr>
        <w:t>TS 38.212, Multiplexing and channel coding, V15.9.0 (2020-06)</w:t>
      </w:r>
      <w:bookmarkEnd w:id="31"/>
    </w:p>
    <w:p w14:paraId="4443A82E" w14:textId="5C98E69E" w:rsidR="00D834FD" w:rsidRPr="002C4EAB" w:rsidRDefault="00D834FD" w:rsidP="00D834FD">
      <w:pPr>
        <w:pStyle w:val="ListParagraph"/>
        <w:numPr>
          <w:ilvl w:val="0"/>
          <w:numId w:val="5"/>
        </w:numPr>
        <w:rPr>
          <w:rFonts w:eastAsia="Malgun Gothic"/>
          <w:lang w:val="en-GB"/>
        </w:rPr>
      </w:pPr>
      <w:bookmarkStart w:id="32" w:name="_Ref47109501"/>
      <w:r w:rsidRPr="002C4EAB">
        <w:rPr>
          <w:rFonts w:eastAsia="Malgun Gothic"/>
          <w:lang w:val="en-GB"/>
        </w:rPr>
        <w:t>TS 38.212, Multiplexing and channel coding, V16.2.0 (2020-06)</w:t>
      </w:r>
      <w:bookmarkEnd w:id="32"/>
    </w:p>
    <w:p w14:paraId="4E26DEF1" w14:textId="35A454C8" w:rsidR="00D834FD" w:rsidRPr="002C4EAB" w:rsidRDefault="00D834FD">
      <w:pPr>
        <w:pStyle w:val="ListParagraph"/>
        <w:numPr>
          <w:ilvl w:val="0"/>
          <w:numId w:val="5"/>
        </w:numPr>
        <w:rPr>
          <w:rFonts w:eastAsia="Malgun Gothic"/>
          <w:lang w:val="en-GB"/>
        </w:rPr>
      </w:pPr>
      <w:bookmarkStart w:id="33" w:name="_Ref47109674"/>
      <w:r w:rsidRPr="002C4EAB">
        <w:rPr>
          <w:rFonts w:eastAsia="Malgun Gothic"/>
          <w:lang w:val="en-GB"/>
        </w:rPr>
        <w:t>TS 38.211, Physical channels and modulation, V15.8.0 (2019-12)</w:t>
      </w:r>
      <w:bookmarkEnd w:id="33"/>
    </w:p>
    <w:p w14:paraId="7C553A9E" w14:textId="3238A91C" w:rsidR="002C4EAB" w:rsidRPr="002C4EAB" w:rsidRDefault="002C4EAB">
      <w:pPr>
        <w:pStyle w:val="ListParagraph"/>
        <w:numPr>
          <w:ilvl w:val="0"/>
          <w:numId w:val="5"/>
        </w:numPr>
        <w:rPr>
          <w:rFonts w:eastAsia="Malgun Gothic"/>
          <w:lang w:val="en-GB"/>
        </w:rPr>
      </w:pPr>
      <w:bookmarkStart w:id="34" w:name="_Ref54347453"/>
      <w:r w:rsidRPr="002C4EAB">
        <w:rPr>
          <w:rFonts w:eastAsia="Malgun Gothic"/>
          <w:lang w:val="en-GB"/>
        </w:rPr>
        <w:t>R4-1914795</w:t>
      </w:r>
      <w:r w:rsidRPr="002C4EAB">
        <w:rPr>
          <w:rFonts w:eastAsia="Malgun Gothic"/>
          <w:lang w:val="en-GB"/>
        </w:rPr>
        <w:t xml:space="preserve">, </w:t>
      </w:r>
      <w:r w:rsidRPr="002C4EAB">
        <w:rPr>
          <w:rFonts w:eastAsia="Malgun Gothic"/>
          <w:lang w:val="en-GB"/>
        </w:rPr>
        <w:t>Options to optimize the polarization mismatch</w:t>
      </w:r>
      <w:r w:rsidRPr="002C4EAB">
        <w:rPr>
          <w:rFonts w:eastAsia="Malgun Gothic"/>
          <w:lang w:val="en-GB"/>
        </w:rPr>
        <w:t xml:space="preserve">, Rohde &amp; Schwarz, </w:t>
      </w:r>
      <w:r w:rsidRPr="002C4EAB">
        <w:rPr>
          <w:rFonts w:eastAsia="Malgun Gothic"/>
          <w:lang w:val="en-GB"/>
        </w:rPr>
        <w:t>3GPP TSG-RAN WG4 Meeting #93</w:t>
      </w:r>
      <w:r w:rsidRPr="002C4EAB">
        <w:rPr>
          <w:rFonts w:eastAsia="Malgun Gothic"/>
          <w:lang w:val="en-GB"/>
        </w:rPr>
        <w:t>, November 2019</w:t>
      </w:r>
      <w:bookmarkEnd w:id="34"/>
    </w:p>
    <w:sectPr w:rsidR="002C4EAB" w:rsidRPr="002C4EAB">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F38F3B" w14:textId="77777777" w:rsidR="00073A9A" w:rsidRDefault="00073A9A">
      <w:r>
        <w:separator/>
      </w:r>
    </w:p>
  </w:endnote>
  <w:endnote w:type="continuationSeparator" w:id="0">
    <w:p w14:paraId="2B745E73" w14:textId="77777777" w:rsidR="00073A9A" w:rsidRDefault="00073A9A">
      <w:r>
        <w:continuationSeparator/>
      </w:r>
    </w:p>
  </w:endnote>
  <w:endnote w:type="continuationNotice" w:id="1">
    <w:p w14:paraId="10E66845" w14:textId="77777777" w:rsidR="00073A9A" w:rsidRDefault="00073A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C78D1A" w14:textId="77777777" w:rsidR="00073A9A" w:rsidRDefault="00073A9A">
      <w:r>
        <w:separator/>
      </w:r>
    </w:p>
  </w:footnote>
  <w:footnote w:type="continuationSeparator" w:id="0">
    <w:p w14:paraId="3D6D4D42" w14:textId="77777777" w:rsidR="00073A9A" w:rsidRDefault="00073A9A">
      <w:r>
        <w:continuationSeparator/>
      </w:r>
    </w:p>
  </w:footnote>
  <w:footnote w:type="continuationNotice" w:id="1">
    <w:p w14:paraId="3391714E" w14:textId="77777777" w:rsidR="00073A9A" w:rsidRDefault="00073A9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8"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615A73"/>
    <w:multiLevelType w:val="hybridMultilevel"/>
    <w:tmpl w:val="02CE076C"/>
    <w:lvl w:ilvl="0" w:tplc="F0FA598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2"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3" w15:restartNumberingAfterBreak="0">
    <w:nsid w:val="2240282E"/>
    <w:multiLevelType w:val="hybridMultilevel"/>
    <w:tmpl w:val="525E7A68"/>
    <w:lvl w:ilvl="0" w:tplc="43C42F7C">
      <w:start w:val="1"/>
      <w:numFmt w:val="bullet"/>
      <w:lvlText w:val="•"/>
      <w:lvlJc w:val="left"/>
      <w:pPr>
        <w:tabs>
          <w:tab w:val="num" w:pos="720"/>
        </w:tabs>
        <w:ind w:left="720" w:hanging="360"/>
      </w:pPr>
      <w:rPr>
        <w:rFonts w:ascii="Arial" w:hAnsi="Arial" w:hint="default"/>
      </w:rPr>
    </w:lvl>
    <w:lvl w:ilvl="1" w:tplc="F1586404">
      <w:start w:val="-1"/>
      <w:numFmt w:val="bullet"/>
      <w:lvlText w:val="•"/>
      <w:lvlJc w:val="left"/>
      <w:pPr>
        <w:tabs>
          <w:tab w:val="num" w:pos="1440"/>
        </w:tabs>
        <w:ind w:left="1440" w:hanging="360"/>
      </w:pPr>
      <w:rPr>
        <w:rFonts w:ascii="Arial" w:hAnsi="Arial" w:hint="default"/>
      </w:rPr>
    </w:lvl>
    <w:lvl w:ilvl="2" w:tplc="4DDEB2C8">
      <w:start w:val="-1"/>
      <w:numFmt w:val="bullet"/>
      <w:lvlText w:val="•"/>
      <w:lvlJc w:val="left"/>
      <w:pPr>
        <w:tabs>
          <w:tab w:val="num" w:pos="2160"/>
        </w:tabs>
        <w:ind w:left="2160" w:hanging="360"/>
      </w:pPr>
      <w:rPr>
        <w:rFonts w:ascii="Arial" w:hAnsi="Arial" w:hint="default"/>
      </w:rPr>
    </w:lvl>
    <w:lvl w:ilvl="3" w:tplc="35241BCE" w:tentative="1">
      <w:start w:val="1"/>
      <w:numFmt w:val="bullet"/>
      <w:lvlText w:val="•"/>
      <w:lvlJc w:val="left"/>
      <w:pPr>
        <w:tabs>
          <w:tab w:val="num" w:pos="2880"/>
        </w:tabs>
        <w:ind w:left="2880" w:hanging="360"/>
      </w:pPr>
      <w:rPr>
        <w:rFonts w:ascii="Arial" w:hAnsi="Arial" w:hint="default"/>
      </w:rPr>
    </w:lvl>
    <w:lvl w:ilvl="4" w:tplc="337C8746" w:tentative="1">
      <w:start w:val="1"/>
      <w:numFmt w:val="bullet"/>
      <w:lvlText w:val="•"/>
      <w:lvlJc w:val="left"/>
      <w:pPr>
        <w:tabs>
          <w:tab w:val="num" w:pos="3600"/>
        </w:tabs>
        <w:ind w:left="3600" w:hanging="360"/>
      </w:pPr>
      <w:rPr>
        <w:rFonts w:ascii="Arial" w:hAnsi="Arial" w:hint="default"/>
      </w:rPr>
    </w:lvl>
    <w:lvl w:ilvl="5" w:tplc="FE76A074" w:tentative="1">
      <w:start w:val="1"/>
      <w:numFmt w:val="bullet"/>
      <w:lvlText w:val="•"/>
      <w:lvlJc w:val="left"/>
      <w:pPr>
        <w:tabs>
          <w:tab w:val="num" w:pos="4320"/>
        </w:tabs>
        <w:ind w:left="4320" w:hanging="360"/>
      </w:pPr>
      <w:rPr>
        <w:rFonts w:ascii="Arial" w:hAnsi="Arial" w:hint="default"/>
      </w:rPr>
    </w:lvl>
    <w:lvl w:ilvl="6" w:tplc="23AA9156" w:tentative="1">
      <w:start w:val="1"/>
      <w:numFmt w:val="bullet"/>
      <w:lvlText w:val="•"/>
      <w:lvlJc w:val="left"/>
      <w:pPr>
        <w:tabs>
          <w:tab w:val="num" w:pos="5040"/>
        </w:tabs>
        <w:ind w:left="5040" w:hanging="360"/>
      </w:pPr>
      <w:rPr>
        <w:rFonts w:ascii="Arial" w:hAnsi="Arial" w:hint="default"/>
      </w:rPr>
    </w:lvl>
    <w:lvl w:ilvl="7" w:tplc="2410F46A" w:tentative="1">
      <w:start w:val="1"/>
      <w:numFmt w:val="bullet"/>
      <w:lvlText w:val="•"/>
      <w:lvlJc w:val="left"/>
      <w:pPr>
        <w:tabs>
          <w:tab w:val="num" w:pos="5760"/>
        </w:tabs>
        <w:ind w:left="5760" w:hanging="360"/>
      </w:pPr>
      <w:rPr>
        <w:rFonts w:ascii="Arial" w:hAnsi="Arial" w:hint="default"/>
      </w:rPr>
    </w:lvl>
    <w:lvl w:ilvl="8" w:tplc="4552AE7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8"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F7D58D7"/>
    <w:multiLevelType w:val="hybridMultilevel"/>
    <w:tmpl w:val="364422D0"/>
    <w:lvl w:ilvl="0" w:tplc="12128584">
      <w:start w:val="1"/>
      <w:numFmt w:val="bullet"/>
      <w:lvlText w:val="•"/>
      <w:lvlJc w:val="left"/>
      <w:pPr>
        <w:tabs>
          <w:tab w:val="num" w:pos="720"/>
        </w:tabs>
        <w:ind w:left="720" w:hanging="360"/>
      </w:pPr>
      <w:rPr>
        <w:rFonts w:ascii="Arial" w:hAnsi="Arial" w:hint="default"/>
      </w:rPr>
    </w:lvl>
    <w:lvl w:ilvl="1" w:tplc="96664088">
      <w:numFmt w:val="none"/>
      <w:lvlText w:val=""/>
      <w:lvlJc w:val="left"/>
      <w:pPr>
        <w:tabs>
          <w:tab w:val="num" w:pos="360"/>
        </w:tabs>
      </w:pPr>
    </w:lvl>
    <w:lvl w:ilvl="2" w:tplc="EF2058E6">
      <w:numFmt w:val="none"/>
      <w:lvlText w:val=""/>
      <w:lvlJc w:val="left"/>
      <w:pPr>
        <w:tabs>
          <w:tab w:val="num" w:pos="360"/>
        </w:tabs>
      </w:pPr>
    </w:lvl>
    <w:lvl w:ilvl="3" w:tplc="DBCA7472" w:tentative="1">
      <w:start w:val="1"/>
      <w:numFmt w:val="bullet"/>
      <w:lvlText w:val="•"/>
      <w:lvlJc w:val="left"/>
      <w:pPr>
        <w:tabs>
          <w:tab w:val="num" w:pos="2880"/>
        </w:tabs>
        <w:ind w:left="2880" w:hanging="360"/>
      </w:pPr>
      <w:rPr>
        <w:rFonts w:ascii="Arial" w:hAnsi="Arial" w:hint="default"/>
      </w:rPr>
    </w:lvl>
    <w:lvl w:ilvl="4" w:tplc="D3D2E00C" w:tentative="1">
      <w:start w:val="1"/>
      <w:numFmt w:val="bullet"/>
      <w:lvlText w:val="•"/>
      <w:lvlJc w:val="left"/>
      <w:pPr>
        <w:tabs>
          <w:tab w:val="num" w:pos="3600"/>
        </w:tabs>
        <w:ind w:left="3600" w:hanging="360"/>
      </w:pPr>
      <w:rPr>
        <w:rFonts w:ascii="Arial" w:hAnsi="Arial" w:hint="default"/>
      </w:rPr>
    </w:lvl>
    <w:lvl w:ilvl="5" w:tplc="D0E81394" w:tentative="1">
      <w:start w:val="1"/>
      <w:numFmt w:val="bullet"/>
      <w:lvlText w:val="•"/>
      <w:lvlJc w:val="left"/>
      <w:pPr>
        <w:tabs>
          <w:tab w:val="num" w:pos="4320"/>
        </w:tabs>
        <w:ind w:left="4320" w:hanging="360"/>
      </w:pPr>
      <w:rPr>
        <w:rFonts w:ascii="Arial" w:hAnsi="Arial" w:hint="default"/>
      </w:rPr>
    </w:lvl>
    <w:lvl w:ilvl="6" w:tplc="8E748598" w:tentative="1">
      <w:start w:val="1"/>
      <w:numFmt w:val="bullet"/>
      <w:lvlText w:val="•"/>
      <w:lvlJc w:val="left"/>
      <w:pPr>
        <w:tabs>
          <w:tab w:val="num" w:pos="5040"/>
        </w:tabs>
        <w:ind w:left="5040" w:hanging="360"/>
      </w:pPr>
      <w:rPr>
        <w:rFonts w:ascii="Arial" w:hAnsi="Arial" w:hint="default"/>
      </w:rPr>
    </w:lvl>
    <w:lvl w:ilvl="7" w:tplc="963A9664" w:tentative="1">
      <w:start w:val="1"/>
      <w:numFmt w:val="bullet"/>
      <w:lvlText w:val="•"/>
      <w:lvlJc w:val="left"/>
      <w:pPr>
        <w:tabs>
          <w:tab w:val="num" w:pos="5760"/>
        </w:tabs>
        <w:ind w:left="5760" w:hanging="360"/>
      </w:pPr>
      <w:rPr>
        <w:rFonts w:ascii="Arial" w:hAnsi="Arial" w:hint="default"/>
      </w:rPr>
    </w:lvl>
    <w:lvl w:ilvl="8" w:tplc="027E0B2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1D40A4C"/>
    <w:multiLevelType w:val="hybridMultilevel"/>
    <w:tmpl w:val="742ACB22"/>
    <w:lvl w:ilvl="0" w:tplc="89006636">
      <w:start w:val="1"/>
      <w:numFmt w:val="bullet"/>
      <w:lvlText w:val="•"/>
      <w:lvlJc w:val="left"/>
      <w:pPr>
        <w:tabs>
          <w:tab w:val="num" w:pos="720"/>
        </w:tabs>
        <w:ind w:left="720" w:hanging="360"/>
      </w:pPr>
      <w:rPr>
        <w:rFonts w:ascii="Arial" w:hAnsi="Arial" w:hint="default"/>
      </w:rPr>
    </w:lvl>
    <w:lvl w:ilvl="1" w:tplc="90861018">
      <w:start w:val="-1"/>
      <w:numFmt w:val="bullet"/>
      <w:lvlText w:val="•"/>
      <w:lvlJc w:val="left"/>
      <w:pPr>
        <w:tabs>
          <w:tab w:val="num" w:pos="1440"/>
        </w:tabs>
        <w:ind w:left="1440" w:hanging="360"/>
      </w:pPr>
      <w:rPr>
        <w:rFonts w:ascii="Arial" w:hAnsi="Arial" w:hint="default"/>
      </w:rPr>
    </w:lvl>
    <w:lvl w:ilvl="2" w:tplc="A63840B8">
      <w:start w:val="-1"/>
      <w:numFmt w:val="bullet"/>
      <w:lvlText w:val="•"/>
      <w:lvlJc w:val="left"/>
      <w:pPr>
        <w:tabs>
          <w:tab w:val="num" w:pos="2160"/>
        </w:tabs>
        <w:ind w:left="2160" w:hanging="360"/>
      </w:pPr>
      <w:rPr>
        <w:rFonts w:ascii="Arial" w:hAnsi="Arial" w:hint="default"/>
      </w:rPr>
    </w:lvl>
    <w:lvl w:ilvl="3" w:tplc="5478FA2E" w:tentative="1">
      <w:start w:val="1"/>
      <w:numFmt w:val="bullet"/>
      <w:lvlText w:val="•"/>
      <w:lvlJc w:val="left"/>
      <w:pPr>
        <w:tabs>
          <w:tab w:val="num" w:pos="2880"/>
        </w:tabs>
        <w:ind w:left="2880" w:hanging="360"/>
      </w:pPr>
      <w:rPr>
        <w:rFonts w:ascii="Arial" w:hAnsi="Arial" w:hint="default"/>
      </w:rPr>
    </w:lvl>
    <w:lvl w:ilvl="4" w:tplc="5FEC4C6A" w:tentative="1">
      <w:start w:val="1"/>
      <w:numFmt w:val="bullet"/>
      <w:lvlText w:val="•"/>
      <w:lvlJc w:val="left"/>
      <w:pPr>
        <w:tabs>
          <w:tab w:val="num" w:pos="3600"/>
        </w:tabs>
        <w:ind w:left="3600" w:hanging="360"/>
      </w:pPr>
      <w:rPr>
        <w:rFonts w:ascii="Arial" w:hAnsi="Arial" w:hint="default"/>
      </w:rPr>
    </w:lvl>
    <w:lvl w:ilvl="5" w:tplc="FED4B95A" w:tentative="1">
      <w:start w:val="1"/>
      <w:numFmt w:val="bullet"/>
      <w:lvlText w:val="•"/>
      <w:lvlJc w:val="left"/>
      <w:pPr>
        <w:tabs>
          <w:tab w:val="num" w:pos="4320"/>
        </w:tabs>
        <w:ind w:left="4320" w:hanging="360"/>
      </w:pPr>
      <w:rPr>
        <w:rFonts w:ascii="Arial" w:hAnsi="Arial" w:hint="default"/>
      </w:rPr>
    </w:lvl>
    <w:lvl w:ilvl="6" w:tplc="3A763EBE" w:tentative="1">
      <w:start w:val="1"/>
      <w:numFmt w:val="bullet"/>
      <w:lvlText w:val="•"/>
      <w:lvlJc w:val="left"/>
      <w:pPr>
        <w:tabs>
          <w:tab w:val="num" w:pos="5040"/>
        </w:tabs>
        <w:ind w:left="5040" w:hanging="360"/>
      </w:pPr>
      <w:rPr>
        <w:rFonts w:ascii="Arial" w:hAnsi="Arial" w:hint="default"/>
      </w:rPr>
    </w:lvl>
    <w:lvl w:ilvl="7" w:tplc="81365578" w:tentative="1">
      <w:start w:val="1"/>
      <w:numFmt w:val="bullet"/>
      <w:lvlText w:val="•"/>
      <w:lvlJc w:val="left"/>
      <w:pPr>
        <w:tabs>
          <w:tab w:val="num" w:pos="5760"/>
        </w:tabs>
        <w:ind w:left="5760" w:hanging="360"/>
      </w:pPr>
      <w:rPr>
        <w:rFonts w:ascii="Arial" w:hAnsi="Arial" w:hint="default"/>
      </w:rPr>
    </w:lvl>
    <w:lvl w:ilvl="8" w:tplc="4712F9B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9" w15:restartNumberingAfterBreak="0">
    <w:nsid w:val="62842577"/>
    <w:multiLevelType w:val="hybridMultilevel"/>
    <w:tmpl w:val="4EF8D1B0"/>
    <w:lvl w:ilvl="0" w:tplc="E14E00A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BBD1128"/>
    <w:multiLevelType w:val="hybridMultilevel"/>
    <w:tmpl w:val="DAD0DDDE"/>
    <w:lvl w:ilvl="0" w:tplc="31588AD8">
      <w:start w:val="1"/>
      <w:numFmt w:val="bullet"/>
      <w:lvlText w:val="•"/>
      <w:lvlJc w:val="left"/>
      <w:pPr>
        <w:tabs>
          <w:tab w:val="num" w:pos="720"/>
        </w:tabs>
        <w:ind w:left="720" w:hanging="360"/>
      </w:pPr>
      <w:rPr>
        <w:rFonts w:ascii="Arial" w:hAnsi="Arial" w:hint="default"/>
      </w:rPr>
    </w:lvl>
    <w:lvl w:ilvl="1" w:tplc="2028E274">
      <w:numFmt w:val="none"/>
      <w:lvlText w:val=""/>
      <w:lvlJc w:val="left"/>
      <w:pPr>
        <w:tabs>
          <w:tab w:val="num" w:pos="360"/>
        </w:tabs>
      </w:pPr>
    </w:lvl>
    <w:lvl w:ilvl="2" w:tplc="2D00CDAA">
      <w:numFmt w:val="none"/>
      <w:lvlText w:val=""/>
      <w:lvlJc w:val="left"/>
      <w:pPr>
        <w:tabs>
          <w:tab w:val="num" w:pos="360"/>
        </w:tabs>
      </w:pPr>
    </w:lvl>
    <w:lvl w:ilvl="3" w:tplc="9D289BB2" w:tentative="1">
      <w:start w:val="1"/>
      <w:numFmt w:val="bullet"/>
      <w:lvlText w:val="•"/>
      <w:lvlJc w:val="left"/>
      <w:pPr>
        <w:tabs>
          <w:tab w:val="num" w:pos="2880"/>
        </w:tabs>
        <w:ind w:left="2880" w:hanging="360"/>
      </w:pPr>
      <w:rPr>
        <w:rFonts w:ascii="Arial" w:hAnsi="Arial" w:hint="default"/>
      </w:rPr>
    </w:lvl>
    <w:lvl w:ilvl="4" w:tplc="7B12CFA6" w:tentative="1">
      <w:start w:val="1"/>
      <w:numFmt w:val="bullet"/>
      <w:lvlText w:val="•"/>
      <w:lvlJc w:val="left"/>
      <w:pPr>
        <w:tabs>
          <w:tab w:val="num" w:pos="3600"/>
        </w:tabs>
        <w:ind w:left="3600" w:hanging="360"/>
      </w:pPr>
      <w:rPr>
        <w:rFonts w:ascii="Arial" w:hAnsi="Arial" w:hint="default"/>
      </w:rPr>
    </w:lvl>
    <w:lvl w:ilvl="5" w:tplc="CCE05628" w:tentative="1">
      <w:start w:val="1"/>
      <w:numFmt w:val="bullet"/>
      <w:lvlText w:val="•"/>
      <w:lvlJc w:val="left"/>
      <w:pPr>
        <w:tabs>
          <w:tab w:val="num" w:pos="4320"/>
        </w:tabs>
        <w:ind w:left="4320" w:hanging="360"/>
      </w:pPr>
      <w:rPr>
        <w:rFonts w:ascii="Arial" w:hAnsi="Arial" w:hint="default"/>
      </w:rPr>
    </w:lvl>
    <w:lvl w:ilvl="6" w:tplc="C7B27F64" w:tentative="1">
      <w:start w:val="1"/>
      <w:numFmt w:val="bullet"/>
      <w:lvlText w:val="•"/>
      <w:lvlJc w:val="left"/>
      <w:pPr>
        <w:tabs>
          <w:tab w:val="num" w:pos="5040"/>
        </w:tabs>
        <w:ind w:left="5040" w:hanging="360"/>
      </w:pPr>
      <w:rPr>
        <w:rFonts w:ascii="Arial" w:hAnsi="Arial" w:hint="default"/>
      </w:rPr>
    </w:lvl>
    <w:lvl w:ilvl="7" w:tplc="A344D0A6" w:tentative="1">
      <w:start w:val="1"/>
      <w:numFmt w:val="bullet"/>
      <w:lvlText w:val="•"/>
      <w:lvlJc w:val="left"/>
      <w:pPr>
        <w:tabs>
          <w:tab w:val="num" w:pos="5760"/>
        </w:tabs>
        <w:ind w:left="5760" w:hanging="360"/>
      </w:pPr>
      <w:rPr>
        <w:rFonts w:ascii="Arial" w:hAnsi="Arial" w:hint="default"/>
      </w:rPr>
    </w:lvl>
    <w:lvl w:ilvl="8" w:tplc="F352553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4"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6" w15:restartNumberingAfterBreak="0">
    <w:nsid w:val="78122396"/>
    <w:multiLevelType w:val="hybridMultilevel"/>
    <w:tmpl w:val="CEA070A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7"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8"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9"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8"/>
  </w:num>
  <w:num w:numId="5">
    <w:abstractNumId w:val="2"/>
  </w:num>
  <w:num w:numId="6">
    <w:abstractNumId w:val="18"/>
  </w:num>
  <w:num w:numId="7">
    <w:abstractNumId w:val="15"/>
  </w:num>
  <w:num w:numId="8">
    <w:abstractNumId w:val="8"/>
  </w:num>
  <w:num w:numId="9">
    <w:abstractNumId w:val="22"/>
  </w:num>
  <w:num w:numId="10">
    <w:abstractNumId w:val="5"/>
  </w:num>
  <w:num w:numId="11">
    <w:abstractNumId w:val="30"/>
  </w:num>
  <w:num w:numId="12">
    <w:abstractNumId w:val="12"/>
  </w:num>
  <w:num w:numId="13">
    <w:abstractNumId w:val="28"/>
  </w:num>
  <w:num w:numId="14">
    <w:abstractNumId w:val="37"/>
  </w:num>
  <w:num w:numId="15">
    <w:abstractNumId w:val="11"/>
  </w:num>
  <w:num w:numId="16">
    <w:abstractNumId w:val="35"/>
  </w:num>
  <w:num w:numId="17">
    <w:abstractNumId w:val="7"/>
  </w:num>
  <w:num w:numId="18">
    <w:abstractNumId w:val="26"/>
  </w:num>
  <w:num w:numId="19">
    <w:abstractNumId w:val="20"/>
  </w:num>
  <w:num w:numId="20">
    <w:abstractNumId w:val="27"/>
  </w:num>
  <w:num w:numId="21">
    <w:abstractNumId w:val="34"/>
  </w:num>
  <w:num w:numId="22">
    <w:abstractNumId w:val="25"/>
  </w:num>
  <w:num w:numId="23">
    <w:abstractNumId w:val="21"/>
  </w:num>
  <w:num w:numId="24">
    <w:abstractNumId w:val="9"/>
  </w:num>
  <w:num w:numId="25">
    <w:abstractNumId w:val="4"/>
  </w:num>
  <w:num w:numId="26">
    <w:abstractNumId w:val="26"/>
  </w:num>
  <w:num w:numId="27">
    <w:abstractNumId w:val="26"/>
  </w:num>
  <w:num w:numId="28">
    <w:abstractNumId w:val="26"/>
  </w:num>
  <w:num w:numId="29">
    <w:abstractNumId w:val="19"/>
  </w:num>
  <w:num w:numId="30">
    <w:abstractNumId w:val="17"/>
  </w:num>
  <w:num w:numId="31">
    <w:abstractNumId w:val="40"/>
  </w:num>
  <w:num w:numId="32">
    <w:abstractNumId w:val="33"/>
  </w:num>
  <w:num w:numId="33">
    <w:abstractNumId w:val="39"/>
  </w:num>
  <w:num w:numId="34">
    <w:abstractNumId w:val="16"/>
  </w:num>
  <w:num w:numId="35">
    <w:abstractNumId w:val="6"/>
  </w:num>
  <w:num w:numId="36">
    <w:abstractNumId w:val="1"/>
  </w:num>
  <w:num w:numId="37">
    <w:abstractNumId w:val="31"/>
  </w:num>
  <w:num w:numId="38">
    <w:abstractNumId w:val="14"/>
  </w:num>
  <w:num w:numId="39">
    <w:abstractNumId w:val="29"/>
  </w:num>
  <w:num w:numId="40">
    <w:abstractNumId w:val="36"/>
  </w:num>
  <w:num w:numId="41">
    <w:abstractNumId w:val="32"/>
  </w:num>
  <w:num w:numId="42">
    <w:abstractNumId w:val="10"/>
  </w:num>
  <w:num w:numId="43">
    <w:abstractNumId w:val="23"/>
  </w:num>
  <w:num w:numId="44">
    <w:abstractNumId w:val="24"/>
  </w:num>
  <w:num w:numId="4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F6E"/>
    <w:rsid w:val="000136CE"/>
    <w:rsid w:val="00015E33"/>
    <w:rsid w:val="00017A04"/>
    <w:rsid w:val="00017C05"/>
    <w:rsid w:val="000200FB"/>
    <w:rsid w:val="0002191D"/>
    <w:rsid w:val="000262D5"/>
    <w:rsid w:val="000266A0"/>
    <w:rsid w:val="00026A7D"/>
    <w:rsid w:val="00031C1D"/>
    <w:rsid w:val="00032F36"/>
    <w:rsid w:val="00036AF0"/>
    <w:rsid w:val="000379D6"/>
    <w:rsid w:val="000406DB"/>
    <w:rsid w:val="000439E6"/>
    <w:rsid w:val="0004477C"/>
    <w:rsid w:val="0004678D"/>
    <w:rsid w:val="00052390"/>
    <w:rsid w:val="000547AB"/>
    <w:rsid w:val="0005509D"/>
    <w:rsid w:val="00055873"/>
    <w:rsid w:val="00056560"/>
    <w:rsid w:val="0005725C"/>
    <w:rsid w:val="000606FD"/>
    <w:rsid w:val="00064500"/>
    <w:rsid w:val="00073A9A"/>
    <w:rsid w:val="00077333"/>
    <w:rsid w:val="00082566"/>
    <w:rsid w:val="00083540"/>
    <w:rsid w:val="00084983"/>
    <w:rsid w:val="00087F53"/>
    <w:rsid w:val="00093E7E"/>
    <w:rsid w:val="00094471"/>
    <w:rsid w:val="00096EE4"/>
    <w:rsid w:val="000A12C7"/>
    <w:rsid w:val="000A2A86"/>
    <w:rsid w:val="000A43B4"/>
    <w:rsid w:val="000B25D3"/>
    <w:rsid w:val="000C2440"/>
    <w:rsid w:val="000C3463"/>
    <w:rsid w:val="000C640F"/>
    <w:rsid w:val="000D39C6"/>
    <w:rsid w:val="000D6B69"/>
    <w:rsid w:val="000D6CFC"/>
    <w:rsid w:val="000E1C8E"/>
    <w:rsid w:val="000E24A4"/>
    <w:rsid w:val="00114DB9"/>
    <w:rsid w:val="001174D8"/>
    <w:rsid w:val="00121323"/>
    <w:rsid w:val="001218CD"/>
    <w:rsid w:val="00122845"/>
    <w:rsid w:val="00124141"/>
    <w:rsid w:val="001258E2"/>
    <w:rsid w:val="0013001E"/>
    <w:rsid w:val="00130A4D"/>
    <w:rsid w:val="0014005E"/>
    <w:rsid w:val="00140084"/>
    <w:rsid w:val="00140091"/>
    <w:rsid w:val="0014206F"/>
    <w:rsid w:val="001423A1"/>
    <w:rsid w:val="001430FC"/>
    <w:rsid w:val="001458A3"/>
    <w:rsid w:val="00150099"/>
    <w:rsid w:val="00152172"/>
    <w:rsid w:val="00153528"/>
    <w:rsid w:val="00157AD8"/>
    <w:rsid w:val="00166A36"/>
    <w:rsid w:val="001741AE"/>
    <w:rsid w:val="001758FB"/>
    <w:rsid w:val="00196F9F"/>
    <w:rsid w:val="001A08AA"/>
    <w:rsid w:val="001A17A5"/>
    <w:rsid w:val="001A2BC5"/>
    <w:rsid w:val="001A2EF9"/>
    <w:rsid w:val="001A3120"/>
    <w:rsid w:val="001A3BFA"/>
    <w:rsid w:val="001B2108"/>
    <w:rsid w:val="001B231F"/>
    <w:rsid w:val="001B6A72"/>
    <w:rsid w:val="001C00AA"/>
    <w:rsid w:val="001C0CFD"/>
    <w:rsid w:val="001C3A35"/>
    <w:rsid w:val="001C3CCB"/>
    <w:rsid w:val="001C4A15"/>
    <w:rsid w:val="001C687E"/>
    <w:rsid w:val="001D0D8E"/>
    <w:rsid w:val="001D7D91"/>
    <w:rsid w:val="001D7F4A"/>
    <w:rsid w:val="001E1CF6"/>
    <w:rsid w:val="001E4636"/>
    <w:rsid w:val="001E6DC6"/>
    <w:rsid w:val="001F5795"/>
    <w:rsid w:val="001F706B"/>
    <w:rsid w:val="00200996"/>
    <w:rsid w:val="0020314E"/>
    <w:rsid w:val="00204999"/>
    <w:rsid w:val="00206FE6"/>
    <w:rsid w:val="0020758D"/>
    <w:rsid w:val="00207AD7"/>
    <w:rsid w:val="00210D55"/>
    <w:rsid w:val="0021155C"/>
    <w:rsid w:val="00212373"/>
    <w:rsid w:val="002138EA"/>
    <w:rsid w:val="0021429F"/>
    <w:rsid w:val="00214FBD"/>
    <w:rsid w:val="00222897"/>
    <w:rsid w:val="0022419C"/>
    <w:rsid w:val="002249E6"/>
    <w:rsid w:val="00234D1C"/>
    <w:rsid w:val="00235394"/>
    <w:rsid w:val="00235813"/>
    <w:rsid w:val="00236683"/>
    <w:rsid w:val="0023752C"/>
    <w:rsid w:val="00241706"/>
    <w:rsid w:val="00241A14"/>
    <w:rsid w:val="00244EEE"/>
    <w:rsid w:val="0025114C"/>
    <w:rsid w:val="00251340"/>
    <w:rsid w:val="00252AEA"/>
    <w:rsid w:val="00254246"/>
    <w:rsid w:val="00255905"/>
    <w:rsid w:val="0026179F"/>
    <w:rsid w:val="00262600"/>
    <w:rsid w:val="00262A89"/>
    <w:rsid w:val="0026391C"/>
    <w:rsid w:val="00266C6B"/>
    <w:rsid w:val="0026709E"/>
    <w:rsid w:val="00267CC7"/>
    <w:rsid w:val="00271F76"/>
    <w:rsid w:val="002741DA"/>
    <w:rsid w:val="002748A2"/>
    <w:rsid w:val="00274984"/>
    <w:rsid w:val="00274E1A"/>
    <w:rsid w:val="0027758E"/>
    <w:rsid w:val="00277A09"/>
    <w:rsid w:val="00282213"/>
    <w:rsid w:val="00284CA2"/>
    <w:rsid w:val="00286EE3"/>
    <w:rsid w:val="00287895"/>
    <w:rsid w:val="00287C09"/>
    <w:rsid w:val="0029076F"/>
    <w:rsid w:val="00293732"/>
    <w:rsid w:val="00296B9F"/>
    <w:rsid w:val="002A4112"/>
    <w:rsid w:val="002A7017"/>
    <w:rsid w:val="002A7F4B"/>
    <w:rsid w:val="002B11F7"/>
    <w:rsid w:val="002B3F06"/>
    <w:rsid w:val="002B4D62"/>
    <w:rsid w:val="002C1E1B"/>
    <w:rsid w:val="002C2040"/>
    <w:rsid w:val="002C4EAB"/>
    <w:rsid w:val="002C7D13"/>
    <w:rsid w:val="002D0D61"/>
    <w:rsid w:val="002D44BD"/>
    <w:rsid w:val="002D69EF"/>
    <w:rsid w:val="002E465A"/>
    <w:rsid w:val="002E47F7"/>
    <w:rsid w:val="002E5F31"/>
    <w:rsid w:val="002F4093"/>
    <w:rsid w:val="002F5FAD"/>
    <w:rsid w:val="00300544"/>
    <w:rsid w:val="00306D8E"/>
    <w:rsid w:val="00307D2C"/>
    <w:rsid w:val="00312DEA"/>
    <w:rsid w:val="00313528"/>
    <w:rsid w:val="003209E5"/>
    <w:rsid w:val="00324F35"/>
    <w:rsid w:val="00326CFF"/>
    <w:rsid w:val="00331E19"/>
    <w:rsid w:val="00332820"/>
    <w:rsid w:val="003340C5"/>
    <w:rsid w:val="0033593B"/>
    <w:rsid w:val="00342EC7"/>
    <w:rsid w:val="00344657"/>
    <w:rsid w:val="00344BCD"/>
    <w:rsid w:val="003450DD"/>
    <w:rsid w:val="00347574"/>
    <w:rsid w:val="00353724"/>
    <w:rsid w:val="00353E42"/>
    <w:rsid w:val="00353FAE"/>
    <w:rsid w:val="00364DC7"/>
    <w:rsid w:val="00365EF7"/>
    <w:rsid w:val="00366F9B"/>
    <w:rsid w:val="00367724"/>
    <w:rsid w:val="003679B5"/>
    <w:rsid w:val="00373148"/>
    <w:rsid w:val="00374836"/>
    <w:rsid w:val="00380C5B"/>
    <w:rsid w:val="00380F33"/>
    <w:rsid w:val="00381C22"/>
    <w:rsid w:val="003834B0"/>
    <w:rsid w:val="00384387"/>
    <w:rsid w:val="003907E3"/>
    <w:rsid w:val="0039361E"/>
    <w:rsid w:val="0039509E"/>
    <w:rsid w:val="00397CC0"/>
    <w:rsid w:val="003A1A50"/>
    <w:rsid w:val="003A1E08"/>
    <w:rsid w:val="003A4625"/>
    <w:rsid w:val="003B1087"/>
    <w:rsid w:val="003B1AA0"/>
    <w:rsid w:val="003B478A"/>
    <w:rsid w:val="003B5AB0"/>
    <w:rsid w:val="003C4291"/>
    <w:rsid w:val="003C47CE"/>
    <w:rsid w:val="003C5232"/>
    <w:rsid w:val="003D1D54"/>
    <w:rsid w:val="003D2C79"/>
    <w:rsid w:val="003D5D10"/>
    <w:rsid w:val="003D7CEB"/>
    <w:rsid w:val="003E300F"/>
    <w:rsid w:val="003E39F0"/>
    <w:rsid w:val="003E3F2D"/>
    <w:rsid w:val="003E567C"/>
    <w:rsid w:val="003E6A73"/>
    <w:rsid w:val="003F0282"/>
    <w:rsid w:val="003F1AEA"/>
    <w:rsid w:val="003F1D13"/>
    <w:rsid w:val="003F6395"/>
    <w:rsid w:val="003F6FF1"/>
    <w:rsid w:val="004006F6"/>
    <w:rsid w:val="0040097C"/>
    <w:rsid w:val="0040139E"/>
    <w:rsid w:val="004026D0"/>
    <w:rsid w:val="004048A9"/>
    <w:rsid w:val="00413C3E"/>
    <w:rsid w:val="00413C6C"/>
    <w:rsid w:val="0041477A"/>
    <w:rsid w:val="00417068"/>
    <w:rsid w:val="004204BB"/>
    <w:rsid w:val="00420AD5"/>
    <w:rsid w:val="00426356"/>
    <w:rsid w:val="00427B4E"/>
    <w:rsid w:val="00431287"/>
    <w:rsid w:val="004420B4"/>
    <w:rsid w:val="00444225"/>
    <w:rsid w:val="00456C09"/>
    <w:rsid w:val="0046119F"/>
    <w:rsid w:val="0046266D"/>
    <w:rsid w:val="00466E59"/>
    <w:rsid w:val="004701D2"/>
    <w:rsid w:val="00470B08"/>
    <w:rsid w:val="00470E49"/>
    <w:rsid w:val="00471B36"/>
    <w:rsid w:val="00473D9D"/>
    <w:rsid w:val="00474556"/>
    <w:rsid w:val="00474FBC"/>
    <w:rsid w:val="00476D28"/>
    <w:rsid w:val="00482CB3"/>
    <w:rsid w:val="004835B4"/>
    <w:rsid w:val="00484D33"/>
    <w:rsid w:val="00485FCA"/>
    <w:rsid w:val="00490F98"/>
    <w:rsid w:val="00490FAF"/>
    <w:rsid w:val="00491FA6"/>
    <w:rsid w:val="00495A33"/>
    <w:rsid w:val="004A07A1"/>
    <w:rsid w:val="004A17C7"/>
    <w:rsid w:val="004A419F"/>
    <w:rsid w:val="004A6B36"/>
    <w:rsid w:val="004B27EC"/>
    <w:rsid w:val="004C2A16"/>
    <w:rsid w:val="004D0FD5"/>
    <w:rsid w:val="004D5AE5"/>
    <w:rsid w:val="004E0771"/>
    <w:rsid w:val="004E2B50"/>
    <w:rsid w:val="004F08C5"/>
    <w:rsid w:val="004F374D"/>
    <w:rsid w:val="004F3D34"/>
    <w:rsid w:val="004F3E0E"/>
    <w:rsid w:val="004F3EB5"/>
    <w:rsid w:val="004F554E"/>
    <w:rsid w:val="004F7A3D"/>
    <w:rsid w:val="004F7C82"/>
    <w:rsid w:val="00501CEE"/>
    <w:rsid w:val="00505BFA"/>
    <w:rsid w:val="005069C0"/>
    <w:rsid w:val="00511254"/>
    <w:rsid w:val="00512458"/>
    <w:rsid w:val="00513632"/>
    <w:rsid w:val="00517B81"/>
    <w:rsid w:val="00520CFC"/>
    <w:rsid w:val="00522C5E"/>
    <w:rsid w:val="005239FE"/>
    <w:rsid w:val="00526FA7"/>
    <w:rsid w:val="0053435C"/>
    <w:rsid w:val="00541EB9"/>
    <w:rsid w:val="00543311"/>
    <w:rsid w:val="00546367"/>
    <w:rsid w:val="005471FE"/>
    <w:rsid w:val="00547409"/>
    <w:rsid w:val="00547986"/>
    <w:rsid w:val="00554A16"/>
    <w:rsid w:val="005550DD"/>
    <w:rsid w:val="005603F5"/>
    <w:rsid w:val="005649A1"/>
    <w:rsid w:val="00566838"/>
    <w:rsid w:val="00580542"/>
    <w:rsid w:val="00580587"/>
    <w:rsid w:val="00581E88"/>
    <w:rsid w:val="0058392F"/>
    <w:rsid w:val="00585B23"/>
    <w:rsid w:val="005908D2"/>
    <w:rsid w:val="00592F28"/>
    <w:rsid w:val="00593B56"/>
    <w:rsid w:val="005943B2"/>
    <w:rsid w:val="00595618"/>
    <w:rsid w:val="005A0EDD"/>
    <w:rsid w:val="005A616F"/>
    <w:rsid w:val="005A6F48"/>
    <w:rsid w:val="005C239F"/>
    <w:rsid w:val="005C331B"/>
    <w:rsid w:val="005C4593"/>
    <w:rsid w:val="005E12CD"/>
    <w:rsid w:val="005E2985"/>
    <w:rsid w:val="005E5D66"/>
    <w:rsid w:val="005F3B1B"/>
    <w:rsid w:val="00607D98"/>
    <w:rsid w:val="0061059A"/>
    <w:rsid w:val="006126CA"/>
    <w:rsid w:val="006131BB"/>
    <w:rsid w:val="00613B1E"/>
    <w:rsid w:val="00616FB0"/>
    <w:rsid w:val="006210C4"/>
    <w:rsid w:val="00622B32"/>
    <w:rsid w:val="00634928"/>
    <w:rsid w:val="00635671"/>
    <w:rsid w:val="00636ABD"/>
    <w:rsid w:val="00645857"/>
    <w:rsid w:val="006468DD"/>
    <w:rsid w:val="00651C2B"/>
    <w:rsid w:val="006537BF"/>
    <w:rsid w:val="00653DF0"/>
    <w:rsid w:val="006543EF"/>
    <w:rsid w:val="0065492A"/>
    <w:rsid w:val="00654D11"/>
    <w:rsid w:val="00656A7B"/>
    <w:rsid w:val="00665AD3"/>
    <w:rsid w:val="00674417"/>
    <w:rsid w:val="00683EDA"/>
    <w:rsid w:val="006856E5"/>
    <w:rsid w:val="006937D0"/>
    <w:rsid w:val="00695755"/>
    <w:rsid w:val="00696BE5"/>
    <w:rsid w:val="00696D0A"/>
    <w:rsid w:val="006974B7"/>
    <w:rsid w:val="006A03F3"/>
    <w:rsid w:val="006A5A2A"/>
    <w:rsid w:val="006A5ED0"/>
    <w:rsid w:val="006A692A"/>
    <w:rsid w:val="006B03F1"/>
    <w:rsid w:val="006B0D02"/>
    <w:rsid w:val="006B1C2F"/>
    <w:rsid w:val="006B363D"/>
    <w:rsid w:val="006B39EF"/>
    <w:rsid w:val="006C3A94"/>
    <w:rsid w:val="006D132D"/>
    <w:rsid w:val="006D6B1F"/>
    <w:rsid w:val="006E26EF"/>
    <w:rsid w:val="006E45D9"/>
    <w:rsid w:val="006F0D5F"/>
    <w:rsid w:val="006F1DCF"/>
    <w:rsid w:val="006F4830"/>
    <w:rsid w:val="006F4A1A"/>
    <w:rsid w:val="006F5431"/>
    <w:rsid w:val="006F5C22"/>
    <w:rsid w:val="00700488"/>
    <w:rsid w:val="00703F5D"/>
    <w:rsid w:val="00705FF6"/>
    <w:rsid w:val="0070646B"/>
    <w:rsid w:val="007066FA"/>
    <w:rsid w:val="00707941"/>
    <w:rsid w:val="00707CE7"/>
    <w:rsid w:val="00711853"/>
    <w:rsid w:val="0071466D"/>
    <w:rsid w:val="00714DD6"/>
    <w:rsid w:val="007162EF"/>
    <w:rsid w:val="00720148"/>
    <w:rsid w:val="00720AC9"/>
    <w:rsid w:val="007250C2"/>
    <w:rsid w:val="0072666A"/>
    <w:rsid w:val="00726FD4"/>
    <w:rsid w:val="00727352"/>
    <w:rsid w:val="00727593"/>
    <w:rsid w:val="00727A8D"/>
    <w:rsid w:val="00730547"/>
    <w:rsid w:val="00735C81"/>
    <w:rsid w:val="00736A17"/>
    <w:rsid w:val="007373B0"/>
    <w:rsid w:val="007403F2"/>
    <w:rsid w:val="00741775"/>
    <w:rsid w:val="00744CC1"/>
    <w:rsid w:val="0074650E"/>
    <w:rsid w:val="00747AD4"/>
    <w:rsid w:val="00752FA3"/>
    <w:rsid w:val="00770A12"/>
    <w:rsid w:val="00771D2F"/>
    <w:rsid w:val="00774B17"/>
    <w:rsid w:val="007756A1"/>
    <w:rsid w:val="0078088D"/>
    <w:rsid w:val="00785759"/>
    <w:rsid w:val="00785D03"/>
    <w:rsid w:val="007927CF"/>
    <w:rsid w:val="00797994"/>
    <w:rsid w:val="007A2502"/>
    <w:rsid w:val="007A4551"/>
    <w:rsid w:val="007A4F68"/>
    <w:rsid w:val="007A5139"/>
    <w:rsid w:val="007A5243"/>
    <w:rsid w:val="007A6059"/>
    <w:rsid w:val="007B03C6"/>
    <w:rsid w:val="007B0584"/>
    <w:rsid w:val="007B5856"/>
    <w:rsid w:val="007B6FFB"/>
    <w:rsid w:val="007C6DD8"/>
    <w:rsid w:val="007D0054"/>
    <w:rsid w:val="007D258B"/>
    <w:rsid w:val="007D36D3"/>
    <w:rsid w:val="007D3BE3"/>
    <w:rsid w:val="007D6048"/>
    <w:rsid w:val="007E2E0D"/>
    <w:rsid w:val="007E7938"/>
    <w:rsid w:val="007F0E1E"/>
    <w:rsid w:val="007F0E21"/>
    <w:rsid w:val="007F1535"/>
    <w:rsid w:val="007F39D0"/>
    <w:rsid w:val="007F4B80"/>
    <w:rsid w:val="007F4CAF"/>
    <w:rsid w:val="007F4CCC"/>
    <w:rsid w:val="007F5B12"/>
    <w:rsid w:val="007F62EA"/>
    <w:rsid w:val="007F7064"/>
    <w:rsid w:val="00803E82"/>
    <w:rsid w:val="00804709"/>
    <w:rsid w:val="00807F76"/>
    <w:rsid w:val="008142CC"/>
    <w:rsid w:val="00816C9D"/>
    <w:rsid w:val="0082033D"/>
    <w:rsid w:val="0082190B"/>
    <w:rsid w:val="00826B31"/>
    <w:rsid w:val="008278A2"/>
    <w:rsid w:val="00827977"/>
    <w:rsid w:val="00830BED"/>
    <w:rsid w:val="008341D0"/>
    <w:rsid w:val="00836C44"/>
    <w:rsid w:val="0083754E"/>
    <w:rsid w:val="00837660"/>
    <w:rsid w:val="00840A11"/>
    <w:rsid w:val="008450F8"/>
    <w:rsid w:val="00845E55"/>
    <w:rsid w:val="00846391"/>
    <w:rsid w:val="008541B3"/>
    <w:rsid w:val="008602F7"/>
    <w:rsid w:val="00861C5F"/>
    <w:rsid w:val="008626D8"/>
    <w:rsid w:val="00864950"/>
    <w:rsid w:val="00870861"/>
    <w:rsid w:val="00884BE6"/>
    <w:rsid w:val="0088503C"/>
    <w:rsid w:val="00885D92"/>
    <w:rsid w:val="00892723"/>
    <w:rsid w:val="00893454"/>
    <w:rsid w:val="00895D05"/>
    <w:rsid w:val="00897A25"/>
    <w:rsid w:val="008A0A78"/>
    <w:rsid w:val="008A1A84"/>
    <w:rsid w:val="008A6143"/>
    <w:rsid w:val="008B0529"/>
    <w:rsid w:val="008B5C74"/>
    <w:rsid w:val="008C2308"/>
    <w:rsid w:val="008C60E9"/>
    <w:rsid w:val="008C7836"/>
    <w:rsid w:val="008D7BED"/>
    <w:rsid w:val="008E4413"/>
    <w:rsid w:val="008E4684"/>
    <w:rsid w:val="008E4F84"/>
    <w:rsid w:val="008F08D9"/>
    <w:rsid w:val="008F1346"/>
    <w:rsid w:val="008F540C"/>
    <w:rsid w:val="008F7D93"/>
    <w:rsid w:val="0090512F"/>
    <w:rsid w:val="0090524D"/>
    <w:rsid w:val="009064E9"/>
    <w:rsid w:val="009076E4"/>
    <w:rsid w:val="00911B1A"/>
    <w:rsid w:val="00916F35"/>
    <w:rsid w:val="00925B2A"/>
    <w:rsid w:val="00931702"/>
    <w:rsid w:val="00931918"/>
    <w:rsid w:val="00932F29"/>
    <w:rsid w:val="00937FBD"/>
    <w:rsid w:val="00945858"/>
    <w:rsid w:val="009514EA"/>
    <w:rsid w:val="00951CC5"/>
    <w:rsid w:val="00952F41"/>
    <w:rsid w:val="0095378B"/>
    <w:rsid w:val="0095392E"/>
    <w:rsid w:val="00957EF1"/>
    <w:rsid w:val="00964105"/>
    <w:rsid w:val="00970A06"/>
    <w:rsid w:val="0097133C"/>
    <w:rsid w:val="00972528"/>
    <w:rsid w:val="0097539D"/>
    <w:rsid w:val="009767AC"/>
    <w:rsid w:val="00980B52"/>
    <w:rsid w:val="00980E79"/>
    <w:rsid w:val="00982B7E"/>
    <w:rsid w:val="00983910"/>
    <w:rsid w:val="00984E5F"/>
    <w:rsid w:val="009913F6"/>
    <w:rsid w:val="00992B5F"/>
    <w:rsid w:val="00997D88"/>
    <w:rsid w:val="009A4E46"/>
    <w:rsid w:val="009C0727"/>
    <w:rsid w:val="009C6214"/>
    <w:rsid w:val="009D28E0"/>
    <w:rsid w:val="009D78C2"/>
    <w:rsid w:val="009D7F67"/>
    <w:rsid w:val="009E186C"/>
    <w:rsid w:val="009E3840"/>
    <w:rsid w:val="009E41C5"/>
    <w:rsid w:val="009E448E"/>
    <w:rsid w:val="009E520A"/>
    <w:rsid w:val="009E602A"/>
    <w:rsid w:val="009E7AFD"/>
    <w:rsid w:val="009F20D3"/>
    <w:rsid w:val="009F6261"/>
    <w:rsid w:val="00A0203B"/>
    <w:rsid w:val="00A079A7"/>
    <w:rsid w:val="00A165D9"/>
    <w:rsid w:val="00A17573"/>
    <w:rsid w:val="00A210B9"/>
    <w:rsid w:val="00A22FB6"/>
    <w:rsid w:val="00A2310D"/>
    <w:rsid w:val="00A25AEB"/>
    <w:rsid w:val="00A277B2"/>
    <w:rsid w:val="00A313BC"/>
    <w:rsid w:val="00A320FB"/>
    <w:rsid w:val="00A3540D"/>
    <w:rsid w:val="00A446A0"/>
    <w:rsid w:val="00A4504D"/>
    <w:rsid w:val="00A452C2"/>
    <w:rsid w:val="00A45E4D"/>
    <w:rsid w:val="00A515A6"/>
    <w:rsid w:val="00A51F25"/>
    <w:rsid w:val="00A56613"/>
    <w:rsid w:val="00A57698"/>
    <w:rsid w:val="00A60D06"/>
    <w:rsid w:val="00A61E17"/>
    <w:rsid w:val="00A6312F"/>
    <w:rsid w:val="00A65439"/>
    <w:rsid w:val="00A67306"/>
    <w:rsid w:val="00A67ACD"/>
    <w:rsid w:val="00A71503"/>
    <w:rsid w:val="00A72864"/>
    <w:rsid w:val="00A7302E"/>
    <w:rsid w:val="00A74CFE"/>
    <w:rsid w:val="00A77EC9"/>
    <w:rsid w:val="00A8094A"/>
    <w:rsid w:val="00A80BEF"/>
    <w:rsid w:val="00A81B15"/>
    <w:rsid w:val="00A82056"/>
    <w:rsid w:val="00A85286"/>
    <w:rsid w:val="00A85DBC"/>
    <w:rsid w:val="00A91132"/>
    <w:rsid w:val="00A97CB6"/>
    <w:rsid w:val="00AA28BF"/>
    <w:rsid w:val="00AA3D6A"/>
    <w:rsid w:val="00AA42AF"/>
    <w:rsid w:val="00AA69E4"/>
    <w:rsid w:val="00AA7233"/>
    <w:rsid w:val="00AB0C5E"/>
    <w:rsid w:val="00AB25ED"/>
    <w:rsid w:val="00AB32B3"/>
    <w:rsid w:val="00AB3F85"/>
    <w:rsid w:val="00AB4AC5"/>
    <w:rsid w:val="00AB7062"/>
    <w:rsid w:val="00AC6E03"/>
    <w:rsid w:val="00AD17B1"/>
    <w:rsid w:val="00AD294A"/>
    <w:rsid w:val="00AD4B9B"/>
    <w:rsid w:val="00AD768A"/>
    <w:rsid w:val="00AE116C"/>
    <w:rsid w:val="00AE342A"/>
    <w:rsid w:val="00AE627B"/>
    <w:rsid w:val="00AE6EAF"/>
    <w:rsid w:val="00AF0F4C"/>
    <w:rsid w:val="00AF3407"/>
    <w:rsid w:val="00AF5AD3"/>
    <w:rsid w:val="00B0589A"/>
    <w:rsid w:val="00B14BC8"/>
    <w:rsid w:val="00B1707D"/>
    <w:rsid w:val="00B20C57"/>
    <w:rsid w:val="00B21D87"/>
    <w:rsid w:val="00B22ADA"/>
    <w:rsid w:val="00B24E76"/>
    <w:rsid w:val="00B334B9"/>
    <w:rsid w:val="00B36208"/>
    <w:rsid w:val="00B3769C"/>
    <w:rsid w:val="00B40D30"/>
    <w:rsid w:val="00B426E8"/>
    <w:rsid w:val="00B42B91"/>
    <w:rsid w:val="00B478AC"/>
    <w:rsid w:val="00B55D9A"/>
    <w:rsid w:val="00B5661F"/>
    <w:rsid w:val="00B6099D"/>
    <w:rsid w:val="00B62388"/>
    <w:rsid w:val="00B62514"/>
    <w:rsid w:val="00B65101"/>
    <w:rsid w:val="00B7370C"/>
    <w:rsid w:val="00B73955"/>
    <w:rsid w:val="00B75741"/>
    <w:rsid w:val="00B822A0"/>
    <w:rsid w:val="00B8446C"/>
    <w:rsid w:val="00B92920"/>
    <w:rsid w:val="00B93A4D"/>
    <w:rsid w:val="00B943D6"/>
    <w:rsid w:val="00BA0D2D"/>
    <w:rsid w:val="00BA47FD"/>
    <w:rsid w:val="00BA5EFD"/>
    <w:rsid w:val="00BB2B4D"/>
    <w:rsid w:val="00BB4346"/>
    <w:rsid w:val="00BB43B8"/>
    <w:rsid w:val="00BB53AC"/>
    <w:rsid w:val="00BB5C16"/>
    <w:rsid w:val="00BB7338"/>
    <w:rsid w:val="00BC2D24"/>
    <w:rsid w:val="00BC577A"/>
    <w:rsid w:val="00BD0905"/>
    <w:rsid w:val="00BD455F"/>
    <w:rsid w:val="00BD6171"/>
    <w:rsid w:val="00BD707B"/>
    <w:rsid w:val="00BE0187"/>
    <w:rsid w:val="00BE1212"/>
    <w:rsid w:val="00BE1A05"/>
    <w:rsid w:val="00BE3D23"/>
    <w:rsid w:val="00BE5CA5"/>
    <w:rsid w:val="00BE5CB9"/>
    <w:rsid w:val="00BF5875"/>
    <w:rsid w:val="00C01AD5"/>
    <w:rsid w:val="00C01D4A"/>
    <w:rsid w:val="00C04948"/>
    <w:rsid w:val="00C050BC"/>
    <w:rsid w:val="00C050CF"/>
    <w:rsid w:val="00C06487"/>
    <w:rsid w:val="00C065DE"/>
    <w:rsid w:val="00C1494B"/>
    <w:rsid w:val="00C14DE6"/>
    <w:rsid w:val="00C15AC6"/>
    <w:rsid w:val="00C16052"/>
    <w:rsid w:val="00C1643C"/>
    <w:rsid w:val="00C209B5"/>
    <w:rsid w:val="00C26EE8"/>
    <w:rsid w:val="00C313B8"/>
    <w:rsid w:val="00C31D69"/>
    <w:rsid w:val="00C401B8"/>
    <w:rsid w:val="00C42F12"/>
    <w:rsid w:val="00C445F4"/>
    <w:rsid w:val="00C451D8"/>
    <w:rsid w:val="00C475DA"/>
    <w:rsid w:val="00C56792"/>
    <w:rsid w:val="00C6278C"/>
    <w:rsid w:val="00C63AA2"/>
    <w:rsid w:val="00C65422"/>
    <w:rsid w:val="00C6599B"/>
    <w:rsid w:val="00C67A34"/>
    <w:rsid w:val="00C76F04"/>
    <w:rsid w:val="00C804C3"/>
    <w:rsid w:val="00C807DB"/>
    <w:rsid w:val="00C81268"/>
    <w:rsid w:val="00C83771"/>
    <w:rsid w:val="00C84936"/>
    <w:rsid w:val="00C87851"/>
    <w:rsid w:val="00C93744"/>
    <w:rsid w:val="00C958F3"/>
    <w:rsid w:val="00CA3A27"/>
    <w:rsid w:val="00CA517A"/>
    <w:rsid w:val="00CB0D58"/>
    <w:rsid w:val="00CB29E4"/>
    <w:rsid w:val="00CB5BF2"/>
    <w:rsid w:val="00CC15A4"/>
    <w:rsid w:val="00CC28A9"/>
    <w:rsid w:val="00CC6580"/>
    <w:rsid w:val="00CC6FE0"/>
    <w:rsid w:val="00CC75FD"/>
    <w:rsid w:val="00CE0386"/>
    <w:rsid w:val="00CF0031"/>
    <w:rsid w:val="00CF0C99"/>
    <w:rsid w:val="00CF46D3"/>
    <w:rsid w:val="00CF61F2"/>
    <w:rsid w:val="00D076FD"/>
    <w:rsid w:val="00D1118A"/>
    <w:rsid w:val="00D12CB8"/>
    <w:rsid w:val="00D16CE2"/>
    <w:rsid w:val="00D21245"/>
    <w:rsid w:val="00D21C9F"/>
    <w:rsid w:val="00D22BEB"/>
    <w:rsid w:val="00D26BF2"/>
    <w:rsid w:val="00D33C1E"/>
    <w:rsid w:val="00D37444"/>
    <w:rsid w:val="00D37A5A"/>
    <w:rsid w:val="00D402C2"/>
    <w:rsid w:val="00D45EB6"/>
    <w:rsid w:val="00D520E4"/>
    <w:rsid w:val="00D54860"/>
    <w:rsid w:val="00D54AA0"/>
    <w:rsid w:val="00D54F08"/>
    <w:rsid w:val="00D55B87"/>
    <w:rsid w:val="00D567FB"/>
    <w:rsid w:val="00D57DFA"/>
    <w:rsid w:val="00D6215E"/>
    <w:rsid w:val="00D70DBC"/>
    <w:rsid w:val="00D7306B"/>
    <w:rsid w:val="00D73201"/>
    <w:rsid w:val="00D73647"/>
    <w:rsid w:val="00D8307F"/>
    <w:rsid w:val="00D834FD"/>
    <w:rsid w:val="00D8465F"/>
    <w:rsid w:val="00D85B5D"/>
    <w:rsid w:val="00D90F93"/>
    <w:rsid w:val="00D91F54"/>
    <w:rsid w:val="00D93835"/>
    <w:rsid w:val="00D93AE3"/>
    <w:rsid w:val="00D9442D"/>
    <w:rsid w:val="00D94F8B"/>
    <w:rsid w:val="00D95235"/>
    <w:rsid w:val="00D9763F"/>
    <w:rsid w:val="00DA66C3"/>
    <w:rsid w:val="00DB5E7F"/>
    <w:rsid w:val="00DC176A"/>
    <w:rsid w:val="00DD0C2C"/>
    <w:rsid w:val="00DD0F6E"/>
    <w:rsid w:val="00DD1C07"/>
    <w:rsid w:val="00DD4BF9"/>
    <w:rsid w:val="00DE0E3E"/>
    <w:rsid w:val="00DE2633"/>
    <w:rsid w:val="00DF1AE6"/>
    <w:rsid w:val="00E038CE"/>
    <w:rsid w:val="00E03F11"/>
    <w:rsid w:val="00E0463C"/>
    <w:rsid w:val="00E077C9"/>
    <w:rsid w:val="00E11C02"/>
    <w:rsid w:val="00E21128"/>
    <w:rsid w:val="00E21AB4"/>
    <w:rsid w:val="00E224FC"/>
    <w:rsid w:val="00E31F57"/>
    <w:rsid w:val="00E32C2E"/>
    <w:rsid w:val="00E336C5"/>
    <w:rsid w:val="00E34794"/>
    <w:rsid w:val="00E41279"/>
    <w:rsid w:val="00E502C4"/>
    <w:rsid w:val="00E50777"/>
    <w:rsid w:val="00E55ABC"/>
    <w:rsid w:val="00E56168"/>
    <w:rsid w:val="00E57B74"/>
    <w:rsid w:val="00E57FEF"/>
    <w:rsid w:val="00E61BFF"/>
    <w:rsid w:val="00E642B3"/>
    <w:rsid w:val="00E70C18"/>
    <w:rsid w:val="00E8629F"/>
    <w:rsid w:val="00E90B54"/>
    <w:rsid w:val="00E96BC6"/>
    <w:rsid w:val="00E97AA9"/>
    <w:rsid w:val="00EA09B1"/>
    <w:rsid w:val="00EA0B7F"/>
    <w:rsid w:val="00EA3C24"/>
    <w:rsid w:val="00EA3D76"/>
    <w:rsid w:val="00EB0292"/>
    <w:rsid w:val="00EC0715"/>
    <w:rsid w:val="00EC6A1C"/>
    <w:rsid w:val="00ED0E8D"/>
    <w:rsid w:val="00ED5F47"/>
    <w:rsid w:val="00ED7922"/>
    <w:rsid w:val="00EE01EA"/>
    <w:rsid w:val="00EE066A"/>
    <w:rsid w:val="00EE2605"/>
    <w:rsid w:val="00EE3A95"/>
    <w:rsid w:val="00EE5692"/>
    <w:rsid w:val="00EE6221"/>
    <w:rsid w:val="00EE7690"/>
    <w:rsid w:val="00EF011F"/>
    <w:rsid w:val="00EF325F"/>
    <w:rsid w:val="00EF32A7"/>
    <w:rsid w:val="00EF5D8B"/>
    <w:rsid w:val="00EF6BCD"/>
    <w:rsid w:val="00F01416"/>
    <w:rsid w:val="00F030CA"/>
    <w:rsid w:val="00F0557F"/>
    <w:rsid w:val="00F05DFF"/>
    <w:rsid w:val="00F072D8"/>
    <w:rsid w:val="00F10B79"/>
    <w:rsid w:val="00F12D23"/>
    <w:rsid w:val="00F15074"/>
    <w:rsid w:val="00F15855"/>
    <w:rsid w:val="00F1709D"/>
    <w:rsid w:val="00F1745D"/>
    <w:rsid w:val="00F23155"/>
    <w:rsid w:val="00F26554"/>
    <w:rsid w:val="00F30653"/>
    <w:rsid w:val="00F3413D"/>
    <w:rsid w:val="00F37710"/>
    <w:rsid w:val="00F63B69"/>
    <w:rsid w:val="00F7184A"/>
    <w:rsid w:val="00F77EB0"/>
    <w:rsid w:val="00F81AC1"/>
    <w:rsid w:val="00F83415"/>
    <w:rsid w:val="00F91F8F"/>
    <w:rsid w:val="00FA0215"/>
    <w:rsid w:val="00FA04B9"/>
    <w:rsid w:val="00FA35B4"/>
    <w:rsid w:val="00FB2CFC"/>
    <w:rsid w:val="00FB560E"/>
    <w:rsid w:val="00FB69E7"/>
    <w:rsid w:val="00FC051F"/>
    <w:rsid w:val="00FC5F9D"/>
    <w:rsid w:val="00FD16E0"/>
    <w:rsid w:val="00FD182B"/>
    <w:rsid w:val="00FD446A"/>
    <w:rsid w:val="00FD7A87"/>
    <w:rsid w:val="00FE1522"/>
    <w:rsid w:val="00FE6645"/>
    <w:rsid w:val="00FF04B3"/>
    <w:rsid w:val="00FF3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34"/>
    <w:qFormat/>
    <w:rsid w:val="00E50777"/>
    <w:pPr>
      <w:numPr>
        <w:numId w:val="39"/>
      </w:numPr>
      <w:spacing w:after="200" w:line="276" w:lineRule="auto"/>
      <w:contextualSpacing/>
    </w:pPr>
    <w:rPr>
      <w:rFonts w:eastAsia="Calibri"/>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34"/>
    <w:rsid w:val="009A4E46"/>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232317">
      <w:bodyDiv w:val="1"/>
      <w:marLeft w:val="0"/>
      <w:marRight w:val="0"/>
      <w:marTop w:val="0"/>
      <w:marBottom w:val="0"/>
      <w:divBdr>
        <w:top w:val="none" w:sz="0" w:space="0" w:color="auto"/>
        <w:left w:val="none" w:sz="0" w:space="0" w:color="auto"/>
        <w:bottom w:val="none" w:sz="0" w:space="0" w:color="auto"/>
        <w:right w:val="none" w:sz="0" w:space="0" w:color="auto"/>
      </w:divBdr>
      <w:divsChild>
        <w:div w:id="1173840004">
          <w:marLeft w:val="360"/>
          <w:marRight w:val="0"/>
          <w:marTop w:val="200"/>
          <w:marBottom w:val="0"/>
          <w:divBdr>
            <w:top w:val="none" w:sz="0" w:space="0" w:color="auto"/>
            <w:left w:val="none" w:sz="0" w:space="0" w:color="auto"/>
            <w:bottom w:val="none" w:sz="0" w:space="0" w:color="auto"/>
            <w:right w:val="none" w:sz="0" w:space="0" w:color="auto"/>
          </w:divBdr>
        </w:div>
        <w:div w:id="2051570523">
          <w:marLeft w:val="1080"/>
          <w:marRight w:val="0"/>
          <w:marTop w:val="100"/>
          <w:marBottom w:val="0"/>
          <w:divBdr>
            <w:top w:val="none" w:sz="0" w:space="0" w:color="auto"/>
            <w:left w:val="none" w:sz="0" w:space="0" w:color="auto"/>
            <w:bottom w:val="none" w:sz="0" w:space="0" w:color="auto"/>
            <w:right w:val="none" w:sz="0" w:space="0" w:color="auto"/>
          </w:divBdr>
        </w:div>
        <w:div w:id="218899620">
          <w:marLeft w:val="1800"/>
          <w:marRight w:val="0"/>
          <w:marTop w:val="100"/>
          <w:marBottom w:val="0"/>
          <w:divBdr>
            <w:top w:val="none" w:sz="0" w:space="0" w:color="auto"/>
            <w:left w:val="none" w:sz="0" w:space="0" w:color="auto"/>
            <w:bottom w:val="none" w:sz="0" w:space="0" w:color="auto"/>
            <w:right w:val="none" w:sz="0" w:space="0" w:color="auto"/>
          </w:divBdr>
        </w:div>
        <w:div w:id="1432166643">
          <w:marLeft w:val="1080"/>
          <w:marRight w:val="0"/>
          <w:marTop w:val="100"/>
          <w:marBottom w:val="0"/>
          <w:divBdr>
            <w:top w:val="none" w:sz="0" w:space="0" w:color="auto"/>
            <w:left w:val="none" w:sz="0" w:space="0" w:color="auto"/>
            <w:bottom w:val="none" w:sz="0" w:space="0" w:color="auto"/>
            <w:right w:val="none" w:sz="0" w:space="0" w:color="auto"/>
          </w:divBdr>
        </w:div>
        <w:div w:id="1486438150">
          <w:marLeft w:val="1800"/>
          <w:marRight w:val="0"/>
          <w:marTop w:val="100"/>
          <w:marBottom w:val="0"/>
          <w:divBdr>
            <w:top w:val="none" w:sz="0" w:space="0" w:color="auto"/>
            <w:left w:val="none" w:sz="0" w:space="0" w:color="auto"/>
            <w:bottom w:val="none" w:sz="0" w:space="0" w:color="auto"/>
            <w:right w:val="none" w:sz="0" w:space="0" w:color="auto"/>
          </w:divBdr>
        </w:div>
        <w:div w:id="1207718222">
          <w:marLeft w:val="1800"/>
          <w:marRight w:val="0"/>
          <w:marTop w:val="100"/>
          <w:marBottom w:val="0"/>
          <w:divBdr>
            <w:top w:val="none" w:sz="0" w:space="0" w:color="auto"/>
            <w:left w:val="none" w:sz="0" w:space="0" w:color="auto"/>
            <w:bottom w:val="none" w:sz="0" w:space="0" w:color="auto"/>
            <w:right w:val="none" w:sz="0" w:space="0" w:color="auto"/>
          </w:divBdr>
        </w:div>
        <w:div w:id="1494568312">
          <w:marLeft w:val="1080"/>
          <w:marRight w:val="0"/>
          <w:marTop w:val="100"/>
          <w:marBottom w:val="0"/>
          <w:divBdr>
            <w:top w:val="none" w:sz="0" w:space="0" w:color="auto"/>
            <w:left w:val="none" w:sz="0" w:space="0" w:color="auto"/>
            <w:bottom w:val="none" w:sz="0" w:space="0" w:color="auto"/>
            <w:right w:val="none" w:sz="0" w:space="0" w:color="auto"/>
          </w:divBdr>
        </w:div>
        <w:div w:id="1318145742">
          <w:marLeft w:val="1800"/>
          <w:marRight w:val="0"/>
          <w:marTop w:val="100"/>
          <w:marBottom w:val="0"/>
          <w:divBdr>
            <w:top w:val="none" w:sz="0" w:space="0" w:color="auto"/>
            <w:left w:val="none" w:sz="0" w:space="0" w:color="auto"/>
            <w:bottom w:val="none" w:sz="0" w:space="0" w:color="auto"/>
            <w:right w:val="none" w:sz="0" w:space="0" w:color="auto"/>
          </w:divBdr>
        </w:div>
        <w:div w:id="1887714625">
          <w:marLeft w:val="1800"/>
          <w:marRight w:val="0"/>
          <w:marTop w:val="100"/>
          <w:marBottom w:val="0"/>
          <w:divBdr>
            <w:top w:val="none" w:sz="0" w:space="0" w:color="auto"/>
            <w:left w:val="none" w:sz="0" w:space="0" w:color="auto"/>
            <w:bottom w:val="none" w:sz="0" w:space="0" w:color="auto"/>
            <w:right w:val="none" w:sz="0" w:space="0" w:color="auto"/>
          </w:divBdr>
        </w:div>
      </w:divsChild>
    </w:div>
    <w:div w:id="177623530">
      <w:bodyDiv w:val="1"/>
      <w:marLeft w:val="0"/>
      <w:marRight w:val="0"/>
      <w:marTop w:val="0"/>
      <w:marBottom w:val="0"/>
      <w:divBdr>
        <w:top w:val="none" w:sz="0" w:space="0" w:color="auto"/>
        <w:left w:val="none" w:sz="0" w:space="0" w:color="auto"/>
        <w:bottom w:val="none" w:sz="0" w:space="0" w:color="auto"/>
        <w:right w:val="none" w:sz="0" w:space="0" w:color="auto"/>
      </w:divBdr>
      <w:divsChild>
        <w:div w:id="573852993">
          <w:marLeft w:val="360"/>
          <w:marRight w:val="0"/>
          <w:marTop w:val="200"/>
          <w:marBottom w:val="0"/>
          <w:divBdr>
            <w:top w:val="none" w:sz="0" w:space="0" w:color="auto"/>
            <w:left w:val="none" w:sz="0" w:space="0" w:color="auto"/>
            <w:bottom w:val="none" w:sz="0" w:space="0" w:color="auto"/>
            <w:right w:val="none" w:sz="0" w:space="0" w:color="auto"/>
          </w:divBdr>
        </w:div>
        <w:div w:id="1300963416">
          <w:marLeft w:val="1080"/>
          <w:marRight w:val="0"/>
          <w:marTop w:val="100"/>
          <w:marBottom w:val="0"/>
          <w:divBdr>
            <w:top w:val="none" w:sz="0" w:space="0" w:color="auto"/>
            <w:left w:val="none" w:sz="0" w:space="0" w:color="auto"/>
            <w:bottom w:val="none" w:sz="0" w:space="0" w:color="auto"/>
            <w:right w:val="none" w:sz="0" w:space="0" w:color="auto"/>
          </w:divBdr>
        </w:div>
        <w:div w:id="441195317">
          <w:marLeft w:val="1800"/>
          <w:marRight w:val="0"/>
          <w:marTop w:val="100"/>
          <w:marBottom w:val="0"/>
          <w:divBdr>
            <w:top w:val="none" w:sz="0" w:space="0" w:color="auto"/>
            <w:left w:val="none" w:sz="0" w:space="0" w:color="auto"/>
            <w:bottom w:val="none" w:sz="0" w:space="0" w:color="auto"/>
            <w:right w:val="none" w:sz="0" w:space="0" w:color="auto"/>
          </w:divBdr>
        </w:div>
        <w:div w:id="1513764777">
          <w:marLeft w:val="1080"/>
          <w:marRight w:val="0"/>
          <w:marTop w:val="100"/>
          <w:marBottom w:val="0"/>
          <w:divBdr>
            <w:top w:val="none" w:sz="0" w:space="0" w:color="auto"/>
            <w:left w:val="none" w:sz="0" w:space="0" w:color="auto"/>
            <w:bottom w:val="none" w:sz="0" w:space="0" w:color="auto"/>
            <w:right w:val="none" w:sz="0" w:space="0" w:color="auto"/>
          </w:divBdr>
        </w:div>
        <w:div w:id="2124304426">
          <w:marLeft w:val="1800"/>
          <w:marRight w:val="0"/>
          <w:marTop w:val="100"/>
          <w:marBottom w:val="0"/>
          <w:divBdr>
            <w:top w:val="none" w:sz="0" w:space="0" w:color="auto"/>
            <w:left w:val="none" w:sz="0" w:space="0" w:color="auto"/>
            <w:bottom w:val="none" w:sz="0" w:space="0" w:color="auto"/>
            <w:right w:val="none" w:sz="0" w:space="0" w:color="auto"/>
          </w:divBdr>
        </w:div>
        <w:div w:id="1460145337">
          <w:marLeft w:val="1800"/>
          <w:marRight w:val="0"/>
          <w:marTop w:val="100"/>
          <w:marBottom w:val="0"/>
          <w:divBdr>
            <w:top w:val="none" w:sz="0" w:space="0" w:color="auto"/>
            <w:left w:val="none" w:sz="0" w:space="0" w:color="auto"/>
            <w:bottom w:val="none" w:sz="0" w:space="0" w:color="auto"/>
            <w:right w:val="none" w:sz="0" w:space="0" w:color="auto"/>
          </w:divBdr>
        </w:div>
        <w:div w:id="1157694812">
          <w:marLeft w:val="1080"/>
          <w:marRight w:val="0"/>
          <w:marTop w:val="100"/>
          <w:marBottom w:val="0"/>
          <w:divBdr>
            <w:top w:val="none" w:sz="0" w:space="0" w:color="auto"/>
            <w:left w:val="none" w:sz="0" w:space="0" w:color="auto"/>
            <w:bottom w:val="none" w:sz="0" w:space="0" w:color="auto"/>
            <w:right w:val="none" w:sz="0" w:space="0" w:color="auto"/>
          </w:divBdr>
        </w:div>
        <w:div w:id="653752770">
          <w:marLeft w:val="1800"/>
          <w:marRight w:val="0"/>
          <w:marTop w:val="100"/>
          <w:marBottom w:val="0"/>
          <w:divBdr>
            <w:top w:val="none" w:sz="0" w:space="0" w:color="auto"/>
            <w:left w:val="none" w:sz="0" w:space="0" w:color="auto"/>
            <w:bottom w:val="none" w:sz="0" w:space="0" w:color="auto"/>
            <w:right w:val="none" w:sz="0" w:space="0" w:color="auto"/>
          </w:divBdr>
        </w:div>
        <w:div w:id="1174104852">
          <w:marLeft w:val="1800"/>
          <w:marRight w:val="0"/>
          <w:marTop w:val="100"/>
          <w:marBottom w:val="0"/>
          <w:divBdr>
            <w:top w:val="none" w:sz="0" w:space="0" w:color="auto"/>
            <w:left w:val="none" w:sz="0" w:space="0" w:color="auto"/>
            <w:bottom w:val="none" w:sz="0" w:space="0" w:color="auto"/>
            <w:right w:val="none" w:sz="0" w:space="0" w:color="auto"/>
          </w:divBdr>
        </w:div>
      </w:divsChild>
    </w:div>
    <w:div w:id="234126766">
      <w:bodyDiv w:val="1"/>
      <w:marLeft w:val="0"/>
      <w:marRight w:val="0"/>
      <w:marTop w:val="0"/>
      <w:marBottom w:val="0"/>
      <w:divBdr>
        <w:top w:val="none" w:sz="0" w:space="0" w:color="auto"/>
        <w:left w:val="none" w:sz="0" w:space="0" w:color="auto"/>
        <w:bottom w:val="none" w:sz="0" w:space="0" w:color="auto"/>
        <w:right w:val="none" w:sz="0" w:space="0" w:color="auto"/>
      </w:divBdr>
    </w:div>
    <w:div w:id="505093317">
      <w:bodyDiv w:val="1"/>
      <w:marLeft w:val="0"/>
      <w:marRight w:val="0"/>
      <w:marTop w:val="0"/>
      <w:marBottom w:val="0"/>
      <w:divBdr>
        <w:top w:val="none" w:sz="0" w:space="0" w:color="auto"/>
        <w:left w:val="none" w:sz="0" w:space="0" w:color="auto"/>
        <w:bottom w:val="none" w:sz="0" w:space="0" w:color="auto"/>
        <w:right w:val="none" w:sz="0" w:space="0" w:color="auto"/>
      </w:divBdr>
      <w:divsChild>
        <w:div w:id="39592124">
          <w:marLeft w:val="288"/>
          <w:marRight w:val="0"/>
          <w:marTop w:val="200"/>
          <w:marBottom w:val="0"/>
          <w:divBdr>
            <w:top w:val="none" w:sz="0" w:space="0" w:color="auto"/>
            <w:left w:val="none" w:sz="0" w:space="0" w:color="auto"/>
            <w:bottom w:val="none" w:sz="0" w:space="0" w:color="auto"/>
            <w:right w:val="none" w:sz="0" w:space="0" w:color="auto"/>
          </w:divBdr>
        </w:div>
        <w:div w:id="1681159189">
          <w:marLeft w:val="576"/>
          <w:marRight w:val="0"/>
          <w:marTop w:val="40"/>
          <w:marBottom w:val="80"/>
          <w:divBdr>
            <w:top w:val="none" w:sz="0" w:space="0" w:color="auto"/>
            <w:left w:val="none" w:sz="0" w:space="0" w:color="auto"/>
            <w:bottom w:val="none" w:sz="0" w:space="0" w:color="auto"/>
            <w:right w:val="none" w:sz="0" w:space="0" w:color="auto"/>
          </w:divBdr>
        </w:div>
        <w:div w:id="25832323">
          <w:marLeft w:val="835"/>
          <w:marRight w:val="0"/>
          <w:marTop w:val="40"/>
          <w:marBottom w:val="80"/>
          <w:divBdr>
            <w:top w:val="none" w:sz="0" w:space="0" w:color="auto"/>
            <w:left w:val="none" w:sz="0" w:space="0" w:color="auto"/>
            <w:bottom w:val="none" w:sz="0" w:space="0" w:color="auto"/>
            <w:right w:val="none" w:sz="0" w:space="0" w:color="auto"/>
          </w:divBdr>
        </w:div>
        <w:div w:id="858205719">
          <w:marLeft w:val="576"/>
          <w:marRight w:val="0"/>
          <w:marTop w:val="40"/>
          <w:marBottom w:val="80"/>
          <w:divBdr>
            <w:top w:val="none" w:sz="0" w:space="0" w:color="auto"/>
            <w:left w:val="none" w:sz="0" w:space="0" w:color="auto"/>
            <w:bottom w:val="none" w:sz="0" w:space="0" w:color="auto"/>
            <w:right w:val="none" w:sz="0" w:space="0" w:color="auto"/>
          </w:divBdr>
        </w:div>
        <w:div w:id="1174951380">
          <w:marLeft w:val="835"/>
          <w:marRight w:val="0"/>
          <w:marTop w:val="40"/>
          <w:marBottom w:val="80"/>
          <w:divBdr>
            <w:top w:val="none" w:sz="0" w:space="0" w:color="auto"/>
            <w:left w:val="none" w:sz="0" w:space="0" w:color="auto"/>
            <w:bottom w:val="none" w:sz="0" w:space="0" w:color="auto"/>
            <w:right w:val="none" w:sz="0" w:space="0" w:color="auto"/>
          </w:divBdr>
        </w:div>
        <w:div w:id="1802770306">
          <w:marLeft w:val="835"/>
          <w:marRight w:val="0"/>
          <w:marTop w:val="40"/>
          <w:marBottom w:val="80"/>
          <w:divBdr>
            <w:top w:val="none" w:sz="0" w:space="0" w:color="auto"/>
            <w:left w:val="none" w:sz="0" w:space="0" w:color="auto"/>
            <w:bottom w:val="none" w:sz="0" w:space="0" w:color="auto"/>
            <w:right w:val="none" w:sz="0" w:space="0" w:color="auto"/>
          </w:divBdr>
        </w:div>
        <w:div w:id="224604260">
          <w:marLeft w:val="576"/>
          <w:marRight w:val="0"/>
          <w:marTop w:val="40"/>
          <w:marBottom w:val="80"/>
          <w:divBdr>
            <w:top w:val="none" w:sz="0" w:space="0" w:color="auto"/>
            <w:left w:val="none" w:sz="0" w:space="0" w:color="auto"/>
            <w:bottom w:val="none" w:sz="0" w:space="0" w:color="auto"/>
            <w:right w:val="none" w:sz="0" w:space="0" w:color="auto"/>
          </w:divBdr>
        </w:div>
        <w:div w:id="144005740">
          <w:marLeft w:val="835"/>
          <w:marRight w:val="0"/>
          <w:marTop w:val="40"/>
          <w:marBottom w:val="80"/>
          <w:divBdr>
            <w:top w:val="none" w:sz="0" w:space="0" w:color="auto"/>
            <w:left w:val="none" w:sz="0" w:space="0" w:color="auto"/>
            <w:bottom w:val="none" w:sz="0" w:space="0" w:color="auto"/>
            <w:right w:val="none" w:sz="0" w:space="0" w:color="auto"/>
          </w:divBdr>
        </w:div>
        <w:div w:id="1841240130">
          <w:marLeft w:val="835"/>
          <w:marRight w:val="0"/>
          <w:marTop w:val="40"/>
          <w:marBottom w:val="80"/>
          <w:divBdr>
            <w:top w:val="none" w:sz="0" w:space="0" w:color="auto"/>
            <w:left w:val="none" w:sz="0" w:space="0" w:color="auto"/>
            <w:bottom w:val="none" w:sz="0" w:space="0" w:color="auto"/>
            <w:right w:val="none" w:sz="0" w:space="0" w:color="auto"/>
          </w:divBdr>
        </w:div>
      </w:divsChild>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077247807">
      <w:bodyDiv w:val="1"/>
      <w:marLeft w:val="0"/>
      <w:marRight w:val="0"/>
      <w:marTop w:val="0"/>
      <w:marBottom w:val="0"/>
      <w:divBdr>
        <w:top w:val="none" w:sz="0" w:space="0" w:color="auto"/>
        <w:left w:val="none" w:sz="0" w:space="0" w:color="auto"/>
        <w:bottom w:val="none" w:sz="0" w:space="0" w:color="auto"/>
        <w:right w:val="none" w:sz="0" w:space="0" w:color="auto"/>
      </w:divBdr>
    </w:div>
    <w:div w:id="1110663479">
      <w:bodyDiv w:val="1"/>
      <w:marLeft w:val="0"/>
      <w:marRight w:val="0"/>
      <w:marTop w:val="0"/>
      <w:marBottom w:val="0"/>
      <w:divBdr>
        <w:top w:val="none" w:sz="0" w:space="0" w:color="auto"/>
        <w:left w:val="none" w:sz="0" w:space="0" w:color="auto"/>
        <w:bottom w:val="none" w:sz="0" w:space="0" w:color="auto"/>
        <w:right w:val="none" w:sz="0" w:space="0" w:color="auto"/>
      </w:divBdr>
      <w:divsChild>
        <w:div w:id="911935997">
          <w:marLeft w:val="360"/>
          <w:marRight w:val="0"/>
          <w:marTop w:val="200"/>
          <w:marBottom w:val="0"/>
          <w:divBdr>
            <w:top w:val="none" w:sz="0" w:space="0" w:color="auto"/>
            <w:left w:val="none" w:sz="0" w:space="0" w:color="auto"/>
            <w:bottom w:val="none" w:sz="0" w:space="0" w:color="auto"/>
            <w:right w:val="none" w:sz="0" w:space="0" w:color="auto"/>
          </w:divBdr>
        </w:div>
        <w:div w:id="1170216396">
          <w:marLeft w:val="1080"/>
          <w:marRight w:val="0"/>
          <w:marTop w:val="100"/>
          <w:marBottom w:val="0"/>
          <w:divBdr>
            <w:top w:val="none" w:sz="0" w:space="0" w:color="auto"/>
            <w:left w:val="none" w:sz="0" w:space="0" w:color="auto"/>
            <w:bottom w:val="none" w:sz="0" w:space="0" w:color="auto"/>
            <w:right w:val="none" w:sz="0" w:space="0" w:color="auto"/>
          </w:divBdr>
        </w:div>
        <w:div w:id="1034887406">
          <w:marLeft w:val="1800"/>
          <w:marRight w:val="0"/>
          <w:marTop w:val="100"/>
          <w:marBottom w:val="0"/>
          <w:divBdr>
            <w:top w:val="none" w:sz="0" w:space="0" w:color="auto"/>
            <w:left w:val="none" w:sz="0" w:space="0" w:color="auto"/>
            <w:bottom w:val="none" w:sz="0" w:space="0" w:color="auto"/>
            <w:right w:val="none" w:sz="0" w:space="0" w:color="auto"/>
          </w:divBdr>
        </w:div>
        <w:div w:id="1700161522">
          <w:marLeft w:val="1080"/>
          <w:marRight w:val="0"/>
          <w:marTop w:val="100"/>
          <w:marBottom w:val="0"/>
          <w:divBdr>
            <w:top w:val="none" w:sz="0" w:space="0" w:color="auto"/>
            <w:left w:val="none" w:sz="0" w:space="0" w:color="auto"/>
            <w:bottom w:val="none" w:sz="0" w:space="0" w:color="auto"/>
            <w:right w:val="none" w:sz="0" w:space="0" w:color="auto"/>
          </w:divBdr>
        </w:div>
        <w:div w:id="1991055115">
          <w:marLeft w:val="1800"/>
          <w:marRight w:val="0"/>
          <w:marTop w:val="100"/>
          <w:marBottom w:val="0"/>
          <w:divBdr>
            <w:top w:val="none" w:sz="0" w:space="0" w:color="auto"/>
            <w:left w:val="none" w:sz="0" w:space="0" w:color="auto"/>
            <w:bottom w:val="none" w:sz="0" w:space="0" w:color="auto"/>
            <w:right w:val="none" w:sz="0" w:space="0" w:color="auto"/>
          </w:divBdr>
        </w:div>
        <w:div w:id="2125148642">
          <w:marLeft w:val="1800"/>
          <w:marRight w:val="0"/>
          <w:marTop w:val="100"/>
          <w:marBottom w:val="0"/>
          <w:divBdr>
            <w:top w:val="none" w:sz="0" w:space="0" w:color="auto"/>
            <w:left w:val="none" w:sz="0" w:space="0" w:color="auto"/>
            <w:bottom w:val="none" w:sz="0" w:space="0" w:color="auto"/>
            <w:right w:val="none" w:sz="0" w:space="0" w:color="auto"/>
          </w:divBdr>
        </w:div>
        <w:div w:id="502934677">
          <w:marLeft w:val="1080"/>
          <w:marRight w:val="0"/>
          <w:marTop w:val="100"/>
          <w:marBottom w:val="0"/>
          <w:divBdr>
            <w:top w:val="none" w:sz="0" w:space="0" w:color="auto"/>
            <w:left w:val="none" w:sz="0" w:space="0" w:color="auto"/>
            <w:bottom w:val="none" w:sz="0" w:space="0" w:color="auto"/>
            <w:right w:val="none" w:sz="0" w:space="0" w:color="auto"/>
          </w:divBdr>
        </w:div>
        <w:div w:id="1316573010">
          <w:marLeft w:val="1800"/>
          <w:marRight w:val="0"/>
          <w:marTop w:val="100"/>
          <w:marBottom w:val="0"/>
          <w:divBdr>
            <w:top w:val="none" w:sz="0" w:space="0" w:color="auto"/>
            <w:left w:val="none" w:sz="0" w:space="0" w:color="auto"/>
            <w:bottom w:val="none" w:sz="0" w:space="0" w:color="auto"/>
            <w:right w:val="none" w:sz="0" w:space="0" w:color="auto"/>
          </w:divBdr>
        </w:div>
        <w:div w:id="1896817288">
          <w:marLeft w:val="1800"/>
          <w:marRight w:val="0"/>
          <w:marTop w:val="100"/>
          <w:marBottom w:val="0"/>
          <w:divBdr>
            <w:top w:val="none" w:sz="0" w:space="0" w:color="auto"/>
            <w:left w:val="none" w:sz="0" w:space="0" w:color="auto"/>
            <w:bottom w:val="none" w:sz="0" w:space="0" w:color="auto"/>
            <w:right w:val="none" w:sz="0" w:space="0" w:color="auto"/>
          </w:divBdr>
        </w:div>
      </w:divsChild>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23238500">
      <w:bodyDiv w:val="1"/>
      <w:marLeft w:val="0"/>
      <w:marRight w:val="0"/>
      <w:marTop w:val="0"/>
      <w:marBottom w:val="0"/>
      <w:divBdr>
        <w:top w:val="none" w:sz="0" w:space="0" w:color="auto"/>
        <w:left w:val="none" w:sz="0" w:space="0" w:color="auto"/>
        <w:bottom w:val="none" w:sz="0" w:space="0" w:color="auto"/>
        <w:right w:val="none" w:sz="0" w:space="0" w:color="auto"/>
      </w:divBdr>
      <w:divsChild>
        <w:div w:id="1573929064">
          <w:marLeft w:val="360"/>
          <w:marRight w:val="0"/>
          <w:marTop w:val="200"/>
          <w:marBottom w:val="0"/>
          <w:divBdr>
            <w:top w:val="none" w:sz="0" w:space="0" w:color="auto"/>
            <w:left w:val="none" w:sz="0" w:space="0" w:color="auto"/>
            <w:bottom w:val="none" w:sz="0" w:space="0" w:color="auto"/>
            <w:right w:val="none" w:sz="0" w:space="0" w:color="auto"/>
          </w:divBdr>
        </w:div>
        <w:div w:id="245500639">
          <w:marLeft w:val="1080"/>
          <w:marRight w:val="0"/>
          <w:marTop w:val="100"/>
          <w:marBottom w:val="0"/>
          <w:divBdr>
            <w:top w:val="none" w:sz="0" w:space="0" w:color="auto"/>
            <w:left w:val="none" w:sz="0" w:space="0" w:color="auto"/>
            <w:bottom w:val="none" w:sz="0" w:space="0" w:color="auto"/>
            <w:right w:val="none" w:sz="0" w:space="0" w:color="auto"/>
          </w:divBdr>
        </w:div>
        <w:div w:id="39787244">
          <w:marLeft w:val="1800"/>
          <w:marRight w:val="0"/>
          <w:marTop w:val="100"/>
          <w:marBottom w:val="0"/>
          <w:divBdr>
            <w:top w:val="none" w:sz="0" w:space="0" w:color="auto"/>
            <w:left w:val="none" w:sz="0" w:space="0" w:color="auto"/>
            <w:bottom w:val="none" w:sz="0" w:space="0" w:color="auto"/>
            <w:right w:val="none" w:sz="0" w:space="0" w:color="auto"/>
          </w:divBdr>
        </w:div>
        <w:div w:id="1794978901">
          <w:marLeft w:val="1080"/>
          <w:marRight w:val="0"/>
          <w:marTop w:val="100"/>
          <w:marBottom w:val="0"/>
          <w:divBdr>
            <w:top w:val="none" w:sz="0" w:space="0" w:color="auto"/>
            <w:left w:val="none" w:sz="0" w:space="0" w:color="auto"/>
            <w:bottom w:val="none" w:sz="0" w:space="0" w:color="auto"/>
            <w:right w:val="none" w:sz="0" w:space="0" w:color="auto"/>
          </w:divBdr>
        </w:div>
        <w:div w:id="373312810">
          <w:marLeft w:val="1800"/>
          <w:marRight w:val="0"/>
          <w:marTop w:val="100"/>
          <w:marBottom w:val="0"/>
          <w:divBdr>
            <w:top w:val="none" w:sz="0" w:space="0" w:color="auto"/>
            <w:left w:val="none" w:sz="0" w:space="0" w:color="auto"/>
            <w:bottom w:val="none" w:sz="0" w:space="0" w:color="auto"/>
            <w:right w:val="none" w:sz="0" w:space="0" w:color="auto"/>
          </w:divBdr>
        </w:div>
        <w:div w:id="1129513892">
          <w:marLeft w:val="1800"/>
          <w:marRight w:val="0"/>
          <w:marTop w:val="100"/>
          <w:marBottom w:val="0"/>
          <w:divBdr>
            <w:top w:val="none" w:sz="0" w:space="0" w:color="auto"/>
            <w:left w:val="none" w:sz="0" w:space="0" w:color="auto"/>
            <w:bottom w:val="none" w:sz="0" w:space="0" w:color="auto"/>
            <w:right w:val="none" w:sz="0" w:space="0" w:color="auto"/>
          </w:divBdr>
        </w:div>
        <w:div w:id="639119514">
          <w:marLeft w:val="1080"/>
          <w:marRight w:val="0"/>
          <w:marTop w:val="100"/>
          <w:marBottom w:val="0"/>
          <w:divBdr>
            <w:top w:val="none" w:sz="0" w:space="0" w:color="auto"/>
            <w:left w:val="none" w:sz="0" w:space="0" w:color="auto"/>
            <w:bottom w:val="none" w:sz="0" w:space="0" w:color="auto"/>
            <w:right w:val="none" w:sz="0" w:space="0" w:color="auto"/>
          </w:divBdr>
        </w:div>
        <w:div w:id="207958369">
          <w:marLeft w:val="1800"/>
          <w:marRight w:val="0"/>
          <w:marTop w:val="100"/>
          <w:marBottom w:val="0"/>
          <w:divBdr>
            <w:top w:val="none" w:sz="0" w:space="0" w:color="auto"/>
            <w:left w:val="none" w:sz="0" w:space="0" w:color="auto"/>
            <w:bottom w:val="none" w:sz="0" w:space="0" w:color="auto"/>
            <w:right w:val="none" w:sz="0" w:space="0" w:color="auto"/>
          </w:divBdr>
        </w:div>
        <w:div w:id="954600291">
          <w:marLeft w:val="1800"/>
          <w:marRight w:val="0"/>
          <w:marTop w:val="100"/>
          <w:marBottom w:val="0"/>
          <w:divBdr>
            <w:top w:val="none" w:sz="0" w:space="0" w:color="auto"/>
            <w:left w:val="none" w:sz="0" w:space="0" w:color="auto"/>
            <w:bottom w:val="none" w:sz="0" w:space="0" w:color="auto"/>
            <w:right w:val="none" w:sz="0" w:space="0" w:color="auto"/>
          </w:divBdr>
        </w:div>
      </w:divsChild>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38224966">
      <w:bodyDiv w:val="1"/>
      <w:marLeft w:val="0"/>
      <w:marRight w:val="0"/>
      <w:marTop w:val="0"/>
      <w:marBottom w:val="0"/>
      <w:divBdr>
        <w:top w:val="none" w:sz="0" w:space="0" w:color="auto"/>
        <w:left w:val="none" w:sz="0" w:space="0" w:color="auto"/>
        <w:bottom w:val="none" w:sz="0" w:space="0" w:color="auto"/>
        <w:right w:val="none" w:sz="0" w:space="0" w:color="auto"/>
      </w:divBdr>
    </w:div>
    <w:div w:id="1888250921">
      <w:bodyDiv w:val="1"/>
      <w:marLeft w:val="0"/>
      <w:marRight w:val="0"/>
      <w:marTop w:val="0"/>
      <w:marBottom w:val="0"/>
      <w:divBdr>
        <w:top w:val="none" w:sz="0" w:space="0" w:color="auto"/>
        <w:left w:val="none" w:sz="0" w:space="0" w:color="auto"/>
        <w:bottom w:val="none" w:sz="0" w:space="0" w:color="auto"/>
        <w:right w:val="none" w:sz="0" w:space="0" w:color="auto"/>
      </w:divBdr>
      <w:divsChild>
        <w:div w:id="1452281942">
          <w:marLeft w:val="360"/>
          <w:marRight w:val="0"/>
          <w:marTop w:val="200"/>
          <w:marBottom w:val="0"/>
          <w:divBdr>
            <w:top w:val="none" w:sz="0" w:space="0" w:color="auto"/>
            <w:left w:val="none" w:sz="0" w:space="0" w:color="auto"/>
            <w:bottom w:val="none" w:sz="0" w:space="0" w:color="auto"/>
            <w:right w:val="none" w:sz="0" w:space="0" w:color="auto"/>
          </w:divBdr>
        </w:div>
        <w:div w:id="450435843">
          <w:marLeft w:val="1080"/>
          <w:marRight w:val="0"/>
          <w:marTop w:val="100"/>
          <w:marBottom w:val="0"/>
          <w:divBdr>
            <w:top w:val="none" w:sz="0" w:space="0" w:color="auto"/>
            <w:left w:val="none" w:sz="0" w:space="0" w:color="auto"/>
            <w:bottom w:val="none" w:sz="0" w:space="0" w:color="auto"/>
            <w:right w:val="none" w:sz="0" w:space="0" w:color="auto"/>
          </w:divBdr>
        </w:div>
        <w:div w:id="931158028">
          <w:marLeft w:val="1800"/>
          <w:marRight w:val="0"/>
          <w:marTop w:val="100"/>
          <w:marBottom w:val="0"/>
          <w:divBdr>
            <w:top w:val="none" w:sz="0" w:space="0" w:color="auto"/>
            <w:left w:val="none" w:sz="0" w:space="0" w:color="auto"/>
            <w:bottom w:val="none" w:sz="0" w:space="0" w:color="auto"/>
            <w:right w:val="none" w:sz="0" w:space="0" w:color="auto"/>
          </w:divBdr>
        </w:div>
        <w:div w:id="524907840">
          <w:marLeft w:val="1080"/>
          <w:marRight w:val="0"/>
          <w:marTop w:val="100"/>
          <w:marBottom w:val="0"/>
          <w:divBdr>
            <w:top w:val="none" w:sz="0" w:space="0" w:color="auto"/>
            <w:left w:val="none" w:sz="0" w:space="0" w:color="auto"/>
            <w:bottom w:val="none" w:sz="0" w:space="0" w:color="auto"/>
            <w:right w:val="none" w:sz="0" w:space="0" w:color="auto"/>
          </w:divBdr>
        </w:div>
        <w:div w:id="196967887">
          <w:marLeft w:val="1800"/>
          <w:marRight w:val="0"/>
          <w:marTop w:val="100"/>
          <w:marBottom w:val="0"/>
          <w:divBdr>
            <w:top w:val="none" w:sz="0" w:space="0" w:color="auto"/>
            <w:left w:val="none" w:sz="0" w:space="0" w:color="auto"/>
            <w:bottom w:val="none" w:sz="0" w:space="0" w:color="auto"/>
            <w:right w:val="none" w:sz="0" w:space="0" w:color="auto"/>
          </w:divBdr>
        </w:div>
        <w:div w:id="1283725768">
          <w:marLeft w:val="1800"/>
          <w:marRight w:val="0"/>
          <w:marTop w:val="100"/>
          <w:marBottom w:val="0"/>
          <w:divBdr>
            <w:top w:val="none" w:sz="0" w:space="0" w:color="auto"/>
            <w:left w:val="none" w:sz="0" w:space="0" w:color="auto"/>
            <w:bottom w:val="none" w:sz="0" w:space="0" w:color="auto"/>
            <w:right w:val="none" w:sz="0" w:space="0" w:color="auto"/>
          </w:divBdr>
        </w:div>
        <w:div w:id="684017939">
          <w:marLeft w:val="1080"/>
          <w:marRight w:val="0"/>
          <w:marTop w:val="100"/>
          <w:marBottom w:val="0"/>
          <w:divBdr>
            <w:top w:val="none" w:sz="0" w:space="0" w:color="auto"/>
            <w:left w:val="none" w:sz="0" w:space="0" w:color="auto"/>
            <w:bottom w:val="none" w:sz="0" w:space="0" w:color="auto"/>
            <w:right w:val="none" w:sz="0" w:space="0" w:color="auto"/>
          </w:divBdr>
        </w:div>
        <w:div w:id="1842500382">
          <w:marLeft w:val="1800"/>
          <w:marRight w:val="0"/>
          <w:marTop w:val="100"/>
          <w:marBottom w:val="0"/>
          <w:divBdr>
            <w:top w:val="none" w:sz="0" w:space="0" w:color="auto"/>
            <w:left w:val="none" w:sz="0" w:space="0" w:color="auto"/>
            <w:bottom w:val="none" w:sz="0" w:space="0" w:color="auto"/>
            <w:right w:val="none" w:sz="0" w:space="0" w:color="auto"/>
          </w:divBdr>
        </w:div>
        <w:div w:id="1399326323">
          <w:marLeft w:val="1800"/>
          <w:marRight w:val="0"/>
          <w:marTop w:val="1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66EB68-6999-44B3-BF9E-B7AD702F9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0B8DE3-FD5E-4CC7-B669-D1F10BD3FE2A}">
  <ds:schemaRefs>
    <ds:schemaRef ds:uri="http://purl.org/dc/terms/"/>
    <ds:schemaRef ds:uri="http://purl.org/dc/dcmitype/"/>
    <ds:schemaRef ds:uri="http://purl.org/dc/elements/1.1/"/>
    <ds:schemaRef ds:uri="http://schemas.microsoft.com/office/infopath/2007/PartnerControls"/>
    <ds:schemaRef ds:uri="http://schemas.microsoft.com/office/2006/metadata/properties"/>
    <ds:schemaRef ds:uri="bdd78157-346c-4767-bfdd-352789a5c5f1"/>
    <ds:schemaRef ds:uri="http://schemas.microsoft.com/office/2006/documentManagement/types"/>
    <ds:schemaRef ds:uri="http://schemas.openxmlformats.org/package/2006/metadata/core-properties"/>
    <ds:schemaRef ds:uri="878f5c59-aec9-459c-acf8-8cf941473193"/>
    <ds:schemaRef ds:uri="http://www.w3.org/XML/1998/namespace"/>
  </ds:schemaRefs>
</ds:datastoreItem>
</file>

<file path=customXml/itemProps3.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4.xml><?xml version="1.0" encoding="utf-8"?>
<ds:datastoreItem xmlns:ds="http://schemas.openxmlformats.org/officeDocument/2006/customXml" ds:itemID="{0DC51FD7-7CFD-4160-9401-A7AE6DA81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5</Pages>
  <Words>1806</Words>
  <Characters>11191</Characters>
  <Application>Microsoft Office Word</Application>
  <DocSecurity>0</DocSecurity>
  <Lines>93</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Thorsten Hertel (KEYS)</cp:lastModifiedBy>
  <cp:revision>6</cp:revision>
  <dcterms:created xsi:type="dcterms:W3CDTF">2020-10-23T18:23:00Z</dcterms:created>
  <dcterms:modified xsi:type="dcterms:W3CDTF">2020-10-23T19:55:00Z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